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D3B29" w14:textId="77777777" w:rsidR="004364E4" w:rsidRPr="007C4791" w:rsidRDefault="004364E4" w:rsidP="004051B3">
      <w:pPr>
        <w:spacing w:after="0" w:line="240" w:lineRule="auto"/>
      </w:pPr>
    </w:p>
    <w:p w14:paraId="3C6371A1" w14:textId="77777777" w:rsidR="00FB3872" w:rsidRPr="007C4791" w:rsidRDefault="00FB3872" w:rsidP="004051B3">
      <w:pPr>
        <w:spacing w:after="0" w:line="240" w:lineRule="auto"/>
        <w:jc w:val="center"/>
      </w:pPr>
      <w:r w:rsidRPr="007C4791">
        <w:t>MEMORANDUM</w:t>
      </w:r>
    </w:p>
    <w:p w14:paraId="4E0B103E" w14:textId="77777777" w:rsidR="00FB3872" w:rsidRPr="007C4791" w:rsidRDefault="00FB3872" w:rsidP="004051B3">
      <w:pPr>
        <w:spacing w:after="0" w:line="240" w:lineRule="auto"/>
      </w:pPr>
    </w:p>
    <w:p w14:paraId="508C3330" w14:textId="0ED5423B" w:rsidR="00FB3872" w:rsidRPr="007C4791" w:rsidRDefault="00FB3872" w:rsidP="004051B3">
      <w:pPr>
        <w:tabs>
          <w:tab w:val="left" w:pos="1080"/>
        </w:tabs>
        <w:spacing w:after="0" w:line="240" w:lineRule="auto"/>
      </w:pPr>
      <w:r w:rsidRPr="007C4791">
        <w:t>TO:</w:t>
      </w:r>
      <w:r w:rsidRPr="007C4791">
        <w:tab/>
      </w:r>
      <w:r w:rsidR="00B06AC9">
        <w:tab/>
      </w:r>
      <w:r w:rsidR="00763A4A" w:rsidRPr="007C4791">
        <w:t>Raymond Hall</w:t>
      </w:r>
      <w:r w:rsidR="00510E58" w:rsidRPr="007C4791">
        <w:t xml:space="preserve">, Chair, </w:t>
      </w:r>
      <w:r w:rsidRPr="007C4791">
        <w:t>Academic Senate</w:t>
      </w:r>
    </w:p>
    <w:p w14:paraId="2D9487CA" w14:textId="77777777" w:rsidR="00FB3872" w:rsidRPr="007C4791" w:rsidRDefault="00FB3872" w:rsidP="004051B3">
      <w:pPr>
        <w:tabs>
          <w:tab w:val="left" w:pos="1080"/>
        </w:tabs>
        <w:spacing w:after="0" w:line="240" w:lineRule="auto"/>
      </w:pPr>
    </w:p>
    <w:p w14:paraId="362A1192" w14:textId="4A8B9F9B" w:rsidR="004C2334" w:rsidRPr="007C4791" w:rsidRDefault="00FB3872" w:rsidP="0014453D">
      <w:pPr>
        <w:tabs>
          <w:tab w:val="left" w:pos="1080"/>
        </w:tabs>
        <w:spacing w:after="0" w:line="240" w:lineRule="auto"/>
      </w:pPr>
      <w:r w:rsidRPr="007C4791">
        <w:t>FROM:</w:t>
      </w:r>
      <w:r w:rsidRPr="007C4791">
        <w:tab/>
      </w:r>
      <w:r w:rsidR="00B06AC9">
        <w:tab/>
      </w:r>
      <w:r w:rsidR="00EF4850" w:rsidRPr="007C4791">
        <w:t>David Low</w:t>
      </w:r>
      <w:r w:rsidR="004C2334" w:rsidRPr="007C4791">
        <w:t xml:space="preserve">, Chair, </w:t>
      </w:r>
      <w:r w:rsidR="00EF4850" w:rsidRPr="007C4791">
        <w:t>University Personnel Committee</w:t>
      </w:r>
    </w:p>
    <w:p w14:paraId="546633CA" w14:textId="1D8D4170" w:rsidR="00B06AC9" w:rsidRDefault="00B06AC9" w:rsidP="00B06AC9">
      <w:pPr>
        <w:ind w:left="720"/>
        <w:contextualSpacing/>
      </w:pPr>
      <w:r>
        <w:t xml:space="preserve">      </w:t>
      </w:r>
      <w:r>
        <w:tab/>
        <w:t>Maritere L</w:t>
      </w:r>
      <w:r w:rsidR="00C8022E">
        <w:t>ó</w:t>
      </w:r>
      <w:r>
        <w:t>pez</w:t>
      </w:r>
      <w:r w:rsidRPr="00501701">
        <w:t>, Chair</w:t>
      </w:r>
      <w:r>
        <w:t>, University Graduate Committee</w:t>
      </w:r>
    </w:p>
    <w:p w14:paraId="27891000" w14:textId="7505F04D" w:rsidR="00B06AC9" w:rsidRPr="00501701" w:rsidRDefault="00B06AC9" w:rsidP="00B06AC9">
      <w:pPr>
        <w:contextualSpacing/>
      </w:pPr>
      <w:r>
        <w:tab/>
      </w:r>
      <w:r>
        <w:tab/>
      </w:r>
      <w:r w:rsidRPr="00CE40AB">
        <w:rPr>
          <w:noProof/>
        </w:rPr>
        <w:drawing>
          <wp:inline distT="0" distB="0" distL="0" distR="0" wp14:anchorId="5A5E4B44" wp14:editId="6E7A48F1">
            <wp:extent cx="1543050" cy="30146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6896" cy="308082"/>
                    </a:xfrm>
                    <a:prstGeom prst="rect">
                      <a:avLst/>
                    </a:prstGeom>
                  </pic:spPr>
                </pic:pic>
              </a:graphicData>
            </a:graphic>
          </wp:inline>
        </w:drawing>
      </w:r>
      <w:r>
        <w:t xml:space="preserve"> </w:t>
      </w:r>
      <w:r w:rsidR="002608D8">
        <w:rPr>
          <w:noProof/>
        </w:rPr>
        <w:drawing>
          <wp:inline distT="0" distB="0" distL="0" distR="0" wp14:anchorId="27F7558D" wp14:editId="4BB4E019">
            <wp:extent cx="944035" cy="487680"/>
            <wp:effectExtent l="0" t="0" r="8890" b="7620"/>
            <wp:docPr id="324159680" name="Picture 1" descr="A close-up of a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159680" name="Picture 1" descr="A close-up of a black text&#10;&#10;Description automatically generated"/>
                    <pic:cNvPicPr/>
                  </pic:nvPicPr>
                  <pic:blipFill>
                    <a:blip r:embed="rId9"/>
                    <a:stretch>
                      <a:fillRect/>
                    </a:stretch>
                  </pic:blipFill>
                  <pic:spPr>
                    <a:xfrm>
                      <a:off x="0" y="0"/>
                      <a:ext cx="957777" cy="494779"/>
                    </a:xfrm>
                    <a:prstGeom prst="rect">
                      <a:avLst/>
                    </a:prstGeom>
                  </pic:spPr>
                </pic:pic>
              </a:graphicData>
            </a:graphic>
          </wp:inline>
        </w:drawing>
      </w:r>
    </w:p>
    <w:p w14:paraId="5271D905" w14:textId="65B5CDB7" w:rsidR="00B06AC9" w:rsidRPr="007C4791" w:rsidRDefault="00B06AC9" w:rsidP="00B06AC9">
      <w:pPr>
        <w:tabs>
          <w:tab w:val="left" w:pos="1080"/>
        </w:tabs>
        <w:spacing w:after="0" w:line="240" w:lineRule="auto"/>
      </w:pPr>
      <w:r w:rsidRPr="007C4791">
        <w:t>DATE:</w:t>
      </w:r>
      <w:r w:rsidRPr="007C4791">
        <w:tab/>
      </w:r>
      <w:r>
        <w:tab/>
      </w:r>
      <w:r w:rsidRPr="002608D8">
        <w:rPr>
          <w:bCs/>
        </w:rPr>
        <w:t>October 2</w:t>
      </w:r>
      <w:r w:rsidR="002608D8">
        <w:rPr>
          <w:bCs/>
        </w:rPr>
        <w:t>4</w:t>
      </w:r>
      <w:r w:rsidRPr="002608D8">
        <w:rPr>
          <w:bCs/>
        </w:rPr>
        <w:t>, 2023</w:t>
      </w:r>
    </w:p>
    <w:p w14:paraId="749F770B" w14:textId="77777777" w:rsidR="00B06AC9" w:rsidRPr="007C4791" w:rsidRDefault="00B06AC9" w:rsidP="00B06AC9">
      <w:pPr>
        <w:tabs>
          <w:tab w:val="left" w:pos="1080"/>
        </w:tabs>
        <w:spacing w:after="0" w:line="240" w:lineRule="auto"/>
      </w:pPr>
    </w:p>
    <w:p w14:paraId="24A6E638" w14:textId="319E7B55" w:rsidR="00B06AC9" w:rsidRPr="007C4791" w:rsidRDefault="00B06AC9" w:rsidP="00B06AC9">
      <w:pPr>
        <w:tabs>
          <w:tab w:val="left" w:pos="1080"/>
        </w:tabs>
        <w:spacing w:after="0" w:line="240" w:lineRule="auto"/>
      </w:pPr>
      <w:r w:rsidRPr="007C4791">
        <w:t>RE:</w:t>
      </w:r>
      <w:r w:rsidRPr="007C4791">
        <w:tab/>
      </w:r>
      <w:r>
        <w:tab/>
      </w:r>
      <w:r w:rsidRPr="007C4791">
        <w:t>APM 3</w:t>
      </w:r>
      <w:r>
        <w:t>11</w:t>
      </w:r>
      <w:r w:rsidRPr="007C4791">
        <w:t xml:space="preserve"> – Policy </w:t>
      </w:r>
      <w:r>
        <w:t>on Teaching Associates</w:t>
      </w:r>
    </w:p>
    <w:p w14:paraId="7D2EABD1" w14:textId="77777777" w:rsidR="00B06AC9" w:rsidRPr="0023151B" w:rsidRDefault="00B06AC9" w:rsidP="00B06AC9">
      <w:pPr>
        <w:ind w:left="1440" w:hanging="1440"/>
      </w:pPr>
    </w:p>
    <w:p w14:paraId="0282654B" w14:textId="151B598A" w:rsidR="00B06AC9" w:rsidRDefault="00B06AC9" w:rsidP="00B06AC9">
      <w:pPr>
        <w:spacing w:after="160" w:line="259" w:lineRule="auto"/>
      </w:pPr>
      <w:r>
        <w:t xml:space="preserve">On 9/12/23, the University Graduate Committee (UGC) voted to forward a redlined revision of APM 311: Policy on Teaching Associates to the University Personnel Committee. On 9/21/23, the University Personnel Committee voted to take on and co-sign the UGC’s work, and produced an updated redlined version of the policy. </w:t>
      </w:r>
    </w:p>
    <w:p w14:paraId="5F74A52B" w14:textId="28489E9E" w:rsidR="00B06AC9" w:rsidRDefault="00B06AC9" w:rsidP="00B06AC9">
      <w:pPr>
        <w:spacing w:after="160" w:line="259" w:lineRule="auto"/>
      </w:pPr>
      <w:r>
        <w:t>The problematic issue, as initially identified by the UGC, was that APM 311 requires TA’s seeking a tuition waiver to submit a FAFSA (see: 311.VI.7.a; 311.VI.3.c). This requirement means that non-resident and international students are automatically excluded from receiving tuition waivers. (While there are different waivers available to non-resident and international students, respectively, those are only a handful and not limited to TA's. Thus, only a very limited number of those waivers go to graduate students serving as Teaching Associates.)</w:t>
      </w:r>
    </w:p>
    <w:p w14:paraId="18F141EF" w14:textId="5188540A" w:rsidR="00B06AC9" w:rsidRDefault="00B06AC9" w:rsidP="00B06AC9">
      <w:pPr>
        <w:spacing w:after="160" w:line="259" w:lineRule="auto"/>
      </w:pPr>
      <w:r>
        <w:t xml:space="preserve">The UGC determined that the FAFSA requirement was added to APM 311 in 2015 at the behest of the Personnel Committee. We do not know why the requirement was added, and internal records do not exist from that time. We combed through committee minutes from 2014-2015 and 2015-2016 but were unable to find out why the specific changes were made.  </w:t>
      </w:r>
    </w:p>
    <w:p w14:paraId="7A7B3A19" w14:textId="46E47B80" w:rsidR="00B06AC9" w:rsidRDefault="00B06AC9" w:rsidP="00B06AC9">
      <w:pPr>
        <w:spacing w:after="160" w:line="259" w:lineRule="auto"/>
      </w:pPr>
      <w:r>
        <w:t>The Personnel Committee engaged in some fact-finding to ascertain whether the FAFSA requirement in APM 311 is required by state- or CSU-level policy. We consulted with Cheryl Chan, Director of the International Office, and Kelly Russell, Director of Financial Aid and Scholarships. In both cases we sought input about whether the FAFSA requirement could be lifted and what consequences doing so might have. We learned:</w:t>
      </w:r>
    </w:p>
    <w:p w14:paraId="6470CDD6" w14:textId="77777777" w:rsidR="00B06AC9" w:rsidRDefault="00B06AC9" w:rsidP="00B06AC9">
      <w:pPr>
        <w:spacing w:after="160" w:line="259" w:lineRule="auto"/>
        <w:ind w:left="720"/>
      </w:pPr>
      <w:r>
        <w:t xml:space="preserve">In reviewing the criteria for the waiver, it would appear the FAFSA requirement is included because that is how we determine if a student is eligible for the State University Grant. However, an international student or non-CA resident student cannot get the State University Grant. I </w:t>
      </w:r>
      <w:proofErr w:type="gramStart"/>
      <w:r>
        <w:t>don't</w:t>
      </w:r>
      <w:proofErr w:type="gramEnd"/>
      <w:r>
        <w:t xml:space="preserve"> know that I would take out the requirement for the FAFSA because of the State University Grant but maybe you add "if eligible to complete the FAFSA". I </w:t>
      </w:r>
      <w:proofErr w:type="gramStart"/>
      <w:r>
        <w:t>don't</w:t>
      </w:r>
      <w:proofErr w:type="gramEnd"/>
      <w:r>
        <w:t xml:space="preserve"> know that anything keeps you from removing it though.</w:t>
      </w:r>
    </w:p>
    <w:p w14:paraId="56957537" w14:textId="2C7AD70F" w:rsidR="00B06AC9" w:rsidRDefault="00B06AC9" w:rsidP="00B06AC9">
      <w:pPr>
        <w:spacing w:after="160" w:line="259" w:lineRule="auto"/>
      </w:pPr>
      <w:r>
        <w:lastRenderedPageBreak/>
        <w:t>Without a compelling reason to retain the FAFSA requirement in policy and a compelling reason not to (chiefly, equity), the Personnel Committee and UGC collectively make the following recommendations regarding amendments to APM 311:</w:t>
      </w:r>
    </w:p>
    <w:p w14:paraId="3EBE9D17" w14:textId="77777777" w:rsidR="00B06AC9" w:rsidRDefault="00B06AC9" w:rsidP="00B06AC9">
      <w:pPr>
        <w:pStyle w:val="ListParagraph"/>
        <w:numPr>
          <w:ilvl w:val="0"/>
          <w:numId w:val="9"/>
        </w:numPr>
        <w:spacing w:after="160" w:line="259" w:lineRule="auto"/>
      </w:pPr>
      <w:r>
        <w:t>Eliminate 311.VI.3.c – “</w:t>
      </w:r>
      <w:r w:rsidRPr="008D1D16">
        <w:rPr>
          <w:rFonts w:eastAsia="Times New Roman"/>
        </w:rPr>
        <w:t>complete a FAFSA by the published priority deadline, and</w:t>
      </w:r>
      <w:r>
        <w:t>”</w:t>
      </w:r>
    </w:p>
    <w:p w14:paraId="319D5A97" w14:textId="77777777" w:rsidR="00B06AC9" w:rsidRDefault="00B06AC9" w:rsidP="00B06AC9">
      <w:pPr>
        <w:pStyle w:val="ListParagraph"/>
        <w:numPr>
          <w:ilvl w:val="0"/>
          <w:numId w:val="9"/>
        </w:numPr>
        <w:spacing w:after="160" w:line="259" w:lineRule="auto"/>
      </w:pPr>
      <w:r>
        <w:t>Change 311.VI.3.d – “</w:t>
      </w:r>
      <w:r w:rsidRPr="008D1D16">
        <w:rPr>
          <w:strike/>
        </w:rPr>
        <w:t>be ineligible for</w:t>
      </w:r>
      <w:r>
        <w:t xml:space="preserve"> </w:t>
      </w:r>
      <w:r w:rsidRPr="008D1D16">
        <w:rPr>
          <w:color w:val="FF0000"/>
        </w:rPr>
        <w:t xml:space="preserve">not have received </w:t>
      </w:r>
      <w:r>
        <w:t xml:space="preserve">a State University Grant (SUG) </w:t>
      </w:r>
      <w:r w:rsidRPr="008D1D16">
        <w:rPr>
          <w:color w:val="FF0000"/>
        </w:rPr>
        <w:t>in</w:t>
      </w:r>
      <w:r>
        <w:t xml:space="preserve"> </w:t>
      </w:r>
      <w:r w:rsidRPr="008D1D16">
        <w:rPr>
          <w:color w:val="FF0000"/>
        </w:rPr>
        <w:t>the academic year of appointment</w:t>
      </w:r>
      <w:r>
        <w:t>.”</w:t>
      </w:r>
    </w:p>
    <w:p w14:paraId="7CA92785" w14:textId="77777777" w:rsidR="00B06AC9" w:rsidRPr="001D370D" w:rsidRDefault="00B06AC9" w:rsidP="00B06AC9">
      <w:pPr>
        <w:pStyle w:val="ListParagraph"/>
        <w:numPr>
          <w:ilvl w:val="0"/>
          <w:numId w:val="9"/>
        </w:numPr>
        <w:spacing w:after="160" w:line="259" w:lineRule="auto"/>
      </w:pPr>
      <w:r>
        <w:t>Eliminate 311.VII.a – “</w:t>
      </w:r>
      <w:r w:rsidRPr="001D370D">
        <w:t>To receive a TA (TA) tuition waiver, students must file a FAFSA each year by the published priority deadline.”</w:t>
      </w:r>
    </w:p>
    <w:p w14:paraId="005E2343" w14:textId="77777777" w:rsidR="00B06AC9" w:rsidRDefault="00B06AC9" w:rsidP="00B06AC9">
      <w:pPr>
        <w:pStyle w:val="ListParagraph"/>
        <w:numPr>
          <w:ilvl w:val="0"/>
          <w:numId w:val="9"/>
        </w:numPr>
        <w:spacing w:after="160" w:line="259" w:lineRule="auto"/>
      </w:pPr>
      <w:r>
        <w:t>Change 311.VII.b – “</w:t>
      </w:r>
      <w:r>
        <w:rPr>
          <w:rFonts w:eastAsia="Times New Roman"/>
        </w:rPr>
        <w:t xml:space="preserve">Students who enroll in 6 units (equivalent to 4 weighted graduate-level units) or less </w:t>
      </w:r>
      <w:r>
        <w:rPr>
          <w:rFonts w:eastAsia="Times New Roman"/>
          <w:strike/>
        </w:rPr>
        <w:t xml:space="preserve">will </w:t>
      </w:r>
      <w:r>
        <w:rPr>
          <w:rFonts w:eastAsia="Times New Roman"/>
          <w:color w:val="FF0000"/>
        </w:rPr>
        <w:t xml:space="preserve">may </w:t>
      </w:r>
      <w:r>
        <w:rPr>
          <w:rFonts w:eastAsia="Times New Roman"/>
        </w:rPr>
        <w:t xml:space="preserve">receive funding based on half-time enrollment and those who enroll in more than 6 units </w:t>
      </w:r>
      <w:r>
        <w:rPr>
          <w:rFonts w:eastAsia="Times New Roman"/>
          <w:strike/>
        </w:rPr>
        <w:t xml:space="preserve">will </w:t>
      </w:r>
      <w:r>
        <w:rPr>
          <w:rFonts w:eastAsia="Times New Roman"/>
          <w:color w:val="FF0000"/>
        </w:rPr>
        <w:t xml:space="preserve">may </w:t>
      </w:r>
      <w:r>
        <w:rPr>
          <w:rFonts w:eastAsia="Times New Roman"/>
        </w:rPr>
        <w:t>receive support based on full-time enrollment.</w:t>
      </w:r>
    </w:p>
    <w:p w14:paraId="367B8440" w14:textId="77777777" w:rsidR="00B06AC9" w:rsidRDefault="00B06AC9" w:rsidP="00B06AC9">
      <w:pPr>
        <w:pStyle w:val="ListParagraph"/>
        <w:numPr>
          <w:ilvl w:val="0"/>
          <w:numId w:val="9"/>
        </w:numPr>
        <w:spacing w:after="160" w:line="259" w:lineRule="auto"/>
      </w:pPr>
      <w:r>
        <w:t>Remove hyperlink in the References section</w:t>
      </w:r>
    </w:p>
    <w:p w14:paraId="3B8D6CF5" w14:textId="51C06A95" w:rsidR="00B06AC9" w:rsidRDefault="00B06AC9" w:rsidP="00B06AC9">
      <w:pPr>
        <w:pStyle w:val="ListParagraph"/>
        <w:numPr>
          <w:ilvl w:val="0"/>
          <w:numId w:val="9"/>
        </w:numPr>
        <w:spacing w:after="160" w:line="259" w:lineRule="auto"/>
      </w:pPr>
      <w:r>
        <w:t>Change gendered pronouns to gender-neutral pronouns throughout the policy.</w:t>
      </w:r>
    </w:p>
    <w:p w14:paraId="7CF71171" w14:textId="1FD97055" w:rsidR="00EF4850" w:rsidRPr="007C4791" w:rsidRDefault="00EF4850" w:rsidP="00DB7F0A">
      <w:pPr>
        <w:pStyle w:val="ListParagraph"/>
        <w:spacing w:after="0" w:line="240" w:lineRule="auto"/>
      </w:pPr>
    </w:p>
    <w:p w14:paraId="5BEFE68A" w14:textId="21B4026F" w:rsidR="00EF4850" w:rsidRPr="007C4791" w:rsidRDefault="0060626D" w:rsidP="00EF4850">
      <w:pPr>
        <w:spacing w:after="0" w:line="240" w:lineRule="auto"/>
      </w:pPr>
      <w:r w:rsidRPr="007C4791">
        <w:t>E</w:t>
      </w:r>
      <w:r w:rsidR="00C0539D" w:rsidRPr="007C4791">
        <w:t xml:space="preserve">nclosed </w:t>
      </w:r>
      <w:r w:rsidR="000E0AD8" w:rsidRPr="007C4791">
        <w:t>are</w:t>
      </w:r>
      <w:r w:rsidRPr="007C4791">
        <w:t xml:space="preserve"> </w:t>
      </w:r>
      <w:r w:rsidR="00CD754C">
        <w:t xml:space="preserve">new </w:t>
      </w:r>
      <w:r w:rsidR="00EF4850" w:rsidRPr="007C4791">
        <w:t xml:space="preserve">tracked changes to APM </w:t>
      </w:r>
      <w:r w:rsidR="00763A4A" w:rsidRPr="007C4791">
        <w:t>3</w:t>
      </w:r>
      <w:r w:rsidR="00B06AC9">
        <w:t>11</w:t>
      </w:r>
      <w:r w:rsidR="00EF4850" w:rsidRPr="007C4791">
        <w:t xml:space="preserve"> for the </w:t>
      </w:r>
      <w:r w:rsidR="00763A4A" w:rsidRPr="007C4791">
        <w:t>Executive Committee and full</w:t>
      </w:r>
      <w:r w:rsidR="00EF4850" w:rsidRPr="007C4791">
        <w:t xml:space="preserve"> Senate review. </w:t>
      </w:r>
    </w:p>
    <w:p w14:paraId="2EFC39EB" w14:textId="77777777" w:rsidR="00B06AC9" w:rsidRDefault="00B06AC9" w:rsidP="004051B3">
      <w:pPr>
        <w:spacing w:after="0" w:line="240" w:lineRule="auto"/>
      </w:pPr>
    </w:p>
    <w:p w14:paraId="5F3F39DA" w14:textId="5093F314" w:rsidR="00402B51" w:rsidRPr="007C4791" w:rsidRDefault="00402B51" w:rsidP="004051B3">
      <w:pPr>
        <w:spacing w:after="0" w:line="240" w:lineRule="auto"/>
      </w:pPr>
      <w:r w:rsidRPr="007C4791">
        <w:t>Respectfully submitted</w:t>
      </w:r>
      <w:r w:rsidR="00EF4850" w:rsidRPr="007C4791">
        <w:t>,</w:t>
      </w:r>
    </w:p>
    <w:p w14:paraId="2596AFD9" w14:textId="538BB59B" w:rsidR="00B06AC9" w:rsidRDefault="00B06AC9" w:rsidP="00B06AC9">
      <w:pPr>
        <w:spacing w:after="160" w:line="259" w:lineRule="auto"/>
      </w:pPr>
      <w:r>
        <w:br/>
        <w:t>D. Low and M. L</w:t>
      </w:r>
      <w:r w:rsidR="00C8022E">
        <w:t>ó</w:t>
      </w:r>
      <w:r>
        <w:t>pez</w:t>
      </w:r>
    </w:p>
    <w:p w14:paraId="6F0A9D4E" w14:textId="1BDC47B4" w:rsidR="00E308D6" w:rsidRPr="007C4791" w:rsidRDefault="00B06AC9" w:rsidP="007C5386">
      <w:pPr>
        <w:spacing w:after="160" w:line="259" w:lineRule="auto"/>
        <w:ind w:left="720" w:hanging="720"/>
      </w:pPr>
      <w:r>
        <w:t xml:space="preserve">CC: </w:t>
      </w:r>
      <w:r>
        <w:tab/>
      </w:r>
      <w:proofErr w:type="spellStart"/>
      <w:r>
        <w:t>Xuanning</w:t>
      </w:r>
      <w:proofErr w:type="spellEnd"/>
      <w:r>
        <w:t xml:space="preserve"> Fu, Provost</w:t>
      </w:r>
      <w:r>
        <w:br/>
        <w:t>Jim Schmidtke, Interim Associate Vice President for Faculty Affairs</w:t>
      </w:r>
      <w:r>
        <w:br/>
        <w:t>Cheryl Chan, Director of the International Office</w:t>
      </w:r>
      <w:r>
        <w:br/>
        <w:t>Kelly Russell, Director of Financial Aid and Scholarships</w:t>
      </w:r>
    </w:p>
    <w:sectPr w:rsidR="00E308D6" w:rsidRPr="007C4791" w:rsidSect="00B06AC9">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EB0B0" w14:textId="77777777" w:rsidR="00A24B00" w:rsidRDefault="00A24B00" w:rsidP="006A4B48">
      <w:pPr>
        <w:spacing w:after="0" w:line="240" w:lineRule="auto"/>
      </w:pPr>
      <w:r>
        <w:separator/>
      </w:r>
    </w:p>
  </w:endnote>
  <w:endnote w:type="continuationSeparator" w:id="0">
    <w:p w14:paraId="46212EBA" w14:textId="77777777" w:rsidR="00A24B00" w:rsidRDefault="00A24B00" w:rsidP="006A4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4440" w14:textId="77777777" w:rsidR="00543410" w:rsidRDefault="005434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70A1" w14:textId="77777777" w:rsidR="00543410" w:rsidRDefault="005434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121E" w14:textId="77777777" w:rsidR="00543410" w:rsidRDefault="00543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F3DE7" w14:textId="77777777" w:rsidR="00A24B00" w:rsidRDefault="00A24B00" w:rsidP="006A4B48">
      <w:pPr>
        <w:spacing w:after="0" w:line="240" w:lineRule="auto"/>
      </w:pPr>
      <w:r>
        <w:separator/>
      </w:r>
    </w:p>
  </w:footnote>
  <w:footnote w:type="continuationSeparator" w:id="0">
    <w:p w14:paraId="03055440" w14:textId="77777777" w:rsidR="00A24B00" w:rsidRDefault="00A24B00" w:rsidP="006A4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8838" w14:textId="77777777" w:rsidR="00543410" w:rsidRDefault="005434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9CAB" w14:textId="77777777" w:rsidR="00543410" w:rsidRDefault="005434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93F3" w14:textId="77777777" w:rsidR="00543410" w:rsidRDefault="005434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49D5"/>
    <w:multiLevelType w:val="hybridMultilevel"/>
    <w:tmpl w:val="6ACA41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C64AD1"/>
    <w:multiLevelType w:val="hybridMultilevel"/>
    <w:tmpl w:val="F04C18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02879FD"/>
    <w:multiLevelType w:val="hybridMultilevel"/>
    <w:tmpl w:val="FB523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C06BC7"/>
    <w:multiLevelType w:val="hybridMultilevel"/>
    <w:tmpl w:val="35BA9D14"/>
    <w:lvl w:ilvl="0" w:tplc="86141704">
      <w:start w:val="1"/>
      <w:numFmt w:val="decimal"/>
      <w:lvlText w:val="%1."/>
      <w:lvlJc w:val="left"/>
      <w:pPr>
        <w:ind w:left="720" w:hanging="720"/>
      </w:pPr>
      <w:rPr>
        <w:rFonts w:hint="default"/>
      </w:rPr>
    </w:lvl>
    <w:lvl w:ilvl="1" w:tplc="AA6ED22E">
      <w:start w:val="1"/>
      <w:numFmt w:val="upperLetter"/>
      <w:lvlText w:val="%2."/>
      <w:lvlJc w:val="left"/>
      <w:pPr>
        <w:ind w:left="1260" w:hanging="360"/>
      </w:pPr>
      <w:rPr>
        <w:rFonts w:ascii="Times New Roman" w:eastAsia="Times New Roman" w:hAnsi="Times New Roman" w:cs="Times New Roman"/>
        <w:color w:val="auto"/>
      </w:rPr>
    </w:lvl>
    <w:lvl w:ilvl="2" w:tplc="42AACDAA">
      <w:start w:val="1"/>
      <w:numFmt w:val="lowerRoman"/>
      <w:lvlText w:val="%3."/>
      <w:lvlJc w:val="right"/>
      <w:pPr>
        <w:ind w:left="1710" w:hanging="180"/>
      </w:pPr>
      <w:rPr>
        <w:b w:val="0"/>
        <w:bCs w:val="0"/>
        <w:color w:val="auto"/>
      </w:rPr>
    </w:lvl>
    <w:lvl w:ilvl="3" w:tplc="B0F0993C">
      <w:start w:val="1"/>
      <w:numFmt w:val="lowerLetter"/>
      <w:lvlText w:val="%4."/>
      <w:lvlJc w:val="left"/>
      <w:pPr>
        <w:ind w:left="2430" w:hanging="360"/>
      </w:pPr>
      <w:rPr>
        <w:b w:val="0"/>
        <w:bCs w:val="0"/>
        <w:i w:val="0"/>
        <w:iCs w:val="0"/>
      </w:rPr>
    </w:lvl>
    <w:lvl w:ilvl="4" w:tplc="A4CC98F8">
      <w:start w:val="1"/>
      <w:numFmt w:val="lowerRoman"/>
      <w:lvlText w:val="%5."/>
      <w:lvlJc w:val="left"/>
      <w:pPr>
        <w:ind w:left="3510" w:hanging="720"/>
      </w:pPr>
      <w:rPr>
        <w:rFonts w:ascii="Times New Roman" w:eastAsia="Times New Roman" w:hAnsi="Times New Roman" w:cs="Times New Roman"/>
        <w:b w:val="0"/>
        <w:bCs w:val="0"/>
        <w:i w:val="0"/>
        <w:iCs w:val="0"/>
      </w:rPr>
    </w:lvl>
    <w:lvl w:ilvl="5" w:tplc="C05C0100">
      <w:start w:val="1"/>
      <w:numFmt w:val="lowerRoman"/>
      <w:lvlText w:val="%6."/>
      <w:lvlJc w:val="right"/>
      <w:pPr>
        <w:ind w:left="3960" w:hanging="180"/>
      </w:pPr>
      <w:rPr>
        <w:b w:val="0"/>
        <w:bCs w:val="0"/>
      </w:rPr>
    </w:lvl>
    <w:lvl w:ilvl="6" w:tplc="0409000F">
      <w:start w:val="1"/>
      <w:numFmt w:val="decimal"/>
      <w:lvlText w:val="%7."/>
      <w:lvlJc w:val="left"/>
      <w:pPr>
        <w:ind w:left="4410" w:hanging="360"/>
      </w:pPr>
    </w:lvl>
    <w:lvl w:ilvl="7" w:tplc="A06A9704">
      <w:start w:val="1"/>
      <w:numFmt w:val="bullet"/>
      <w:lvlText w:val=""/>
      <w:lvlJc w:val="left"/>
      <w:pPr>
        <w:ind w:left="3060" w:hanging="360"/>
      </w:pPr>
      <w:rPr>
        <w:rFonts w:ascii="Wingdings" w:eastAsia="Times New Roman" w:hAnsi="Wingdings" w:cs="Times New Roman" w:hint="default"/>
      </w:rPr>
    </w:lvl>
    <w:lvl w:ilvl="8" w:tplc="0409001B">
      <w:start w:val="1"/>
      <w:numFmt w:val="lowerRoman"/>
      <w:lvlText w:val="%9."/>
      <w:lvlJc w:val="right"/>
      <w:pPr>
        <w:ind w:left="3060" w:hanging="180"/>
      </w:pPr>
    </w:lvl>
  </w:abstractNum>
  <w:abstractNum w:abstractNumId="4" w15:restartNumberingAfterBreak="0">
    <w:nsid w:val="5ECB4CD7"/>
    <w:multiLevelType w:val="multilevel"/>
    <w:tmpl w:val="0D8A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7060D8"/>
    <w:multiLevelType w:val="hybridMultilevel"/>
    <w:tmpl w:val="88DABCC2"/>
    <w:lvl w:ilvl="0" w:tplc="3C5E4528">
      <w:start w:val="1"/>
      <w:numFmt w:val="decimal"/>
      <w:lvlText w:val="%1."/>
      <w:lvlJc w:val="left"/>
      <w:pPr>
        <w:ind w:left="720" w:hanging="360"/>
      </w:pPr>
      <w:rPr>
        <w:rFonts w:hint="default"/>
        <w:i w:val="0"/>
        <w:iCs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8006DA"/>
    <w:multiLevelType w:val="hybridMultilevel"/>
    <w:tmpl w:val="F49A4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6F473E"/>
    <w:multiLevelType w:val="hybridMultilevel"/>
    <w:tmpl w:val="0AB2ABA6"/>
    <w:lvl w:ilvl="0" w:tplc="C4D0F9E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8860E02"/>
    <w:multiLevelType w:val="hybridMultilevel"/>
    <w:tmpl w:val="21F2B9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82123987">
    <w:abstractNumId w:val="6"/>
  </w:num>
  <w:num w:numId="2" w16cid:durableId="1816527235">
    <w:abstractNumId w:val="1"/>
  </w:num>
  <w:num w:numId="3" w16cid:durableId="1403865687">
    <w:abstractNumId w:val="7"/>
  </w:num>
  <w:num w:numId="4" w16cid:durableId="1700621708">
    <w:abstractNumId w:val="5"/>
  </w:num>
  <w:num w:numId="5" w16cid:durableId="1342390792">
    <w:abstractNumId w:val="3"/>
  </w:num>
  <w:num w:numId="6" w16cid:durableId="1001084963">
    <w:abstractNumId w:val="8"/>
  </w:num>
  <w:num w:numId="7" w16cid:durableId="1328631720">
    <w:abstractNumId w:val="4"/>
  </w:num>
  <w:num w:numId="8" w16cid:durableId="1487891606">
    <w:abstractNumId w:val="0"/>
  </w:num>
  <w:num w:numId="9" w16cid:durableId="1703345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E3"/>
    <w:rsid w:val="00013F3C"/>
    <w:rsid w:val="00035441"/>
    <w:rsid w:val="00037289"/>
    <w:rsid w:val="00040513"/>
    <w:rsid w:val="000433F3"/>
    <w:rsid w:val="00046AD4"/>
    <w:rsid w:val="0007475E"/>
    <w:rsid w:val="0008794D"/>
    <w:rsid w:val="000C2994"/>
    <w:rsid w:val="000C2B66"/>
    <w:rsid w:val="000E0AD8"/>
    <w:rsid w:val="000E768E"/>
    <w:rsid w:val="00105AB1"/>
    <w:rsid w:val="00105C69"/>
    <w:rsid w:val="00106DAC"/>
    <w:rsid w:val="00143F91"/>
    <w:rsid w:val="0014453D"/>
    <w:rsid w:val="00157D5F"/>
    <w:rsid w:val="00162115"/>
    <w:rsid w:val="00162B22"/>
    <w:rsid w:val="00172249"/>
    <w:rsid w:val="001F0F9F"/>
    <w:rsid w:val="001F2E6B"/>
    <w:rsid w:val="00215770"/>
    <w:rsid w:val="002254E9"/>
    <w:rsid w:val="002608D8"/>
    <w:rsid w:val="00264FFF"/>
    <w:rsid w:val="00272C16"/>
    <w:rsid w:val="00285CBF"/>
    <w:rsid w:val="0029468D"/>
    <w:rsid w:val="002A53BE"/>
    <w:rsid w:val="002C017D"/>
    <w:rsid w:val="002F08E1"/>
    <w:rsid w:val="002F4149"/>
    <w:rsid w:val="003074FA"/>
    <w:rsid w:val="003159B6"/>
    <w:rsid w:val="00343F4A"/>
    <w:rsid w:val="0035571B"/>
    <w:rsid w:val="00361242"/>
    <w:rsid w:val="00383722"/>
    <w:rsid w:val="003A5D4E"/>
    <w:rsid w:val="003B5147"/>
    <w:rsid w:val="003B678B"/>
    <w:rsid w:val="003D7E40"/>
    <w:rsid w:val="003E0C85"/>
    <w:rsid w:val="003F56AD"/>
    <w:rsid w:val="003F6FF3"/>
    <w:rsid w:val="00402584"/>
    <w:rsid w:val="00402B51"/>
    <w:rsid w:val="004051B3"/>
    <w:rsid w:val="004364E4"/>
    <w:rsid w:val="00443229"/>
    <w:rsid w:val="00457F39"/>
    <w:rsid w:val="00464F04"/>
    <w:rsid w:val="00491246"/>
    <w:rsid w:val="00493275"/>
    <w:rsid w:val="004A5421"/>
    <w:rsid w:val="004B5902"/>
    <w:rsid w:val="004C2334"/>
    <w:rsid w:val="004F59DB"/>
    <w:rsid w:val="00510E58"/>
    <w:rsid w:val="00513878"/>
    <w:rsid w:val="0051582F"/>
    <w:rsid w:val="00516F59"/>
    <w:rsid w:val="00543410"/>
    <w:rsid w:val="005455D3"/>
    <w:rsid w:val="005873B6"/>
    <w:rsid w:val="005D1CED"/>
    <w:rsid w:val="005E17C1"/>
    <w:rsid w:val="005E5396"/>
    <w:rsid w:val="005F28C6"/>
    <w:rsid w:val="0060626D"/>
    <w:rsid w:val="006075D2"/>
    <w:rsid w:val="00613415"/>
    <w:rsid w:val="0061378B"/>
    <w:rsid w:val="006143B9"/>
    <w:rsid w:val="00615B89"/>
    <w:rsid w:val="00622DF6"/>
    <w:rsid w:val="00642BBF"/>
    <w:rsid w:val="00642EA0"/>
    <w:rsid w:val="00657443"/>
    <w:rsid w:val="00657FF7"/>
    <w:rsid w:val="006632DE"/>
    <w:rsid w:val="00663BD6"/>
    <w:rsid w:val="006641F0"/>
    <w:rsid w:val="00682ECE"/>
    <w:rsid w:val="0069493D"/>
    <w:rsid w:val="006A4B48"/>
    <w:rsid w:val="006A58BF"/>
    <w:rsid w:val="006E598D"/>
    <w:rsid w:val="006F038E"/>
    <w:rsid w:val="00700B83"/>
    <w:rsid w:val="00701618"/>
    <w:rsid w:val="007113F1"/>
    <w:rsid w:val="007152A7"/>
    <w:rsid w:val="00733CE3"/>
    <w:rsid w:val="00737C5D"/>
    <w:rsid w:val="00756A88"/>
    <w:rsid w:val="00763A4A"/>
    <w:rsid w:val="00767688"/>
    <w:rsid w:val="0078566D"/>
    <w:rsid w:val="00786DFA"/>
    <w:rsid w:val="00787809"/>
    <w:rsid w:val="007A4ADE"/>
    <w:rsid w:val="007B3DB2"/>
    <w:rsid w:val="007C4791"/>
    <w:rsid w:val="007C5386"/>
    <w:rsid w:val="007E4FFA"/>
    <w:rsid w:val="007F6103"/>
    <w:rsid w:val="00811791"/>
    <w:rsid w:val="00813FF3"/>
    <w:rsid w:val="00816D3E"/>
    <w:rsid w:val="00820FCB"/>
    <w:rsid w:val="00875AF2"/>
    <w:rsid w:val="008A1F78"/>
    <w:rsid w:val="008A4847"/>
    <w:rsid w:val="008C0397"/>
    <w:rsid w:val="008D6C41"/>
    <w:rsid w:val="008E4372"/>
    <w:rsid w:val="008E50FE"/>
    <w:rsid w:val="00916DF8"/>
    <w:rsid w:val="009263E8"/>
    <w:rsid w:val="009301ED"/>
    <w:rsid w:val="00931D1B"/>
    <w:rsid w:val="009512C8"/>
    <w:rsid w:val="00962739"/>
    <w:rsid w:val="00965EEA"/>
    <w:rsid w:val="00970023"/>
    <w:rsid w:val="00983076"/>
    <w:rsid w:val="00A06D39"/>
    <w:rsid w:val="00A1282B"/>
    <w:rsid w:val="00A21EDC"/>
    <w:rsid w:val="00A248E6"/>
    <w:rsid w:val="00A24B00"/>
    <w:rsid w:val="00A50059"/>
    <w:rsid w:val="00A64D02"/>
    <w:rsid w:val="00A73DA4"/>
    <w:rsid w:val="00A874C0"/>
    <w:rsid w:val="00AC1601"/>
    <w:rsid w:val="00AC20C4"/>
    <w:rsid w:val="00AD6CB6"/>
    <w:rsid w:val="00B042C6"/>
    <w:rsid w:val="00B06AC9"/>
    <w:rsid w:val="00BA0A75"/>
    <w:rsid w:val="00BA13F3"/>
    <w:rsid w:val="00BE5503"/>
    <w:rsid w:val="00BF045B"/>
    <w:rsid w:val="00C0539D"/>
    <w:rsid w:val="00C057CA"/>
    <w:rsid w:val="00C16AB1"/>
    <w:rsid w:val="00C30B58"/>
    <w:rsid w:val="00C36727"/>
    <w:rsid w:val="00C4123D"/>
    <w:rsid w:val="00C44AA9"/>
    <w:rsid w:val="00C45BD6"/>
    <w:rsid w:val="00C53445"/>
    <w:rsid w:val="00C71248"/>
    <w:rsid w:val="00C8022E"/>
    <w:rsid w:val="00C820CD"/>
    <w:rsid w:val="00C8592A"/>
    <w:rsid w:val="00CA532C"/>
    <w:rsid w:val="00CB617F"/>
    <w:rsid w:val="00CD754C"/>
    <w:rsid w:val="00CF0CEA"/>
    <w:rsid w:val="00CF7266"/>
    <w:rsid w:val="00D0064E"/>
    <w:rsid w:val="00D01348"/>
    <w:rsid w:val="00D17181"/>
    <w:rsid w:val="00D26D98"/>
    <w:rsid w:val="00D33433"/>
    <w:rsid w:val="00D35B17"/>
    <w:rsid w:val="00D37328"/>
    <w:rsid w:val="00D648EA"/>
    <w:rsid w:val="00DB7F0A"/>
    <w:rsid w:val="00DC1768"/>
    <w:rsid w:val="00DD4557"/>
    <w:rsid w:val="00DE67C7"/>
    <w:rsid w:val="00DF6025"/>
    <w:rsid w:val="00E1567B"/>
    <w:rsid w:val="00E22881"/>
    <w:rsid w:val="00E308D6"/>
    <w:rsid w:val="00E3443F"/>
    <w:rsid w:val="00E4230D"/>
    <w:rsid w:val="00E50872"/>
    <w:rsid w:val="00E92258"/>
    <w:rsid w:val="00E95578"/>
    <w:rsid w:val="00EA68A9"/>
    <w:rsid w:val="00EC40BA"/>
    <w:rsid w:val="00EC647F"/>
    <w:rsid w:val="00EE4882"/>
    <w:rsid w:val="00EF22B2"/>
    <w:rsid w:val="00EF4850"/>
    <w:rsid w:val="00F50D12"/>
    <w:rsid w:val="00F7443D"/>
    <w:rsid w:val="00F80F4D"/>
    <w:rsid w:val="00F90377"/>
    <w:rsid w:val="00FA030C"/>
    <w:rsid w:val="00FB3872"/>
    <w:rsid w:val="00FC58DA"/>
    <w:rsid w:val="00FD493B"/>
    <w:rsid w:val="00FD6C55"/>
    <w:rsid w:val="00FE3B6B"/>
    <w:rsid w:val="00FF2DB3"/>
    <w:rsid w:val="00FF7F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6400CF"/>
  <w15:docId w15:val="{18310D30-DAE4-4BBC-BDCA-DDC87DCB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A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E99"/>
  </w:style>
  <w:style w:type="paragraph" w:styleId="Footer">
    <w:name w:val="footer"/>
    <w:basedOn w:val="Normal"/>
    <w:link w:val="FooterChar"/>
    <w:uiPriority w:val="99"/>
    <w:unhideWhenUsed/>
    <w:rsid w:val="00984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E99"/>
  </w:style>
  <w:style w:type="paragraph" w:styleId="BalloonText">
    <w:name w:val="Balloon Text"/>
    <w:basedOn w:val="Normal"/>
    <w:link w:val="BalloonTextChar"/>
    <w:uiPriority w:val="99"/>
    <w:semiHidden/>
    <w:unhideWhenUsed/>
    <w:rsid w:val="00984E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E99"/>
    <w:rPr>
      <w:rFonts w:ascii="Tahoma" w:hAnsi="Tahoma" w:cs="Tahoma"/>
      <w:sz w:val="16"/>
      <w:szCs w:val="16"/>
    </w:rPr>
  </w:style>
  <w:style w:type="paragraph" w:styleId="NormalWeb">
    <w:name w:val="Normal (Web)"/>
    <w:basedOn w:val="Normal"/>
    <w:uiPriority w:val="99"/>
    <w:unhideWhenUsed/>
    <w:rsid w:val="00DB1C07"/>
    <w:pPr>
      <w:spacing w:before="100" w:beforeAutospacing="1" w:after="100" w:afterAutospacing="1" w:line="240" w:lineRule="auto"/>
    </w:pPr>
    <w:rPr>
      <w:rFonts w:eastAsia="Times New Roman"/>
    </w:rPr>
  </w:style>
  <w:style w:type="paragraph" w:customStyle="1" w:styleId="LightShading-Accent21">
    <w:name w:val="Light Shading - Accent 21"/>
    <w:basedOn w:val="Normal"/>
    <w:next w:val="Normal"/>
    <w:link w:val="LightShading-Accent2Char"/>
    <w:uiPriority w:val="30"/>
    <w:qFormat/>
    <w:rsid w:val="0091538E"/>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91538E"/>
    <w:rPr>
      <w:b/>
      <w:bCs/>
      <w:i/>
      <w:iCs/>
      <w:color w:val="4F81BD"/>
    </w:rPr>
  </w:style>
  <w:style w:type="character" w:styleId="Hyperlink">
    <w:name w:val="Hyperlink"/>
    <w:rsid w:val="00AA4BBE"/>
    <w:rPr>
      <w:color w:val="0000FF"/>
      <w:u w:val="single"/>
    </w:rPr>
  </w:style>
  <w:style w:type="paragraph" w:styleId="ListParagraph">
    <w:name w:val="List Paragraph"/>
    <w:basedOn w:val="Normal"/>
    <w:uiPriority w:val="34"/>
    <w:qFormat/>
    <w:rsid w:val="00143F91"/>
    <w:pPr>
      <w:ind w:left="720"/>
      <w:contextualSpacing/>
    </w:pPr>
  </w:style>
  <w:style w:type="paragraph" w:styleId="FootnoteText">
    <w:name w:val="footnote text"/>
    <w:basedOn w:val="Normal"/>
    <w:link w:val="FootnoteTextChar"/>
    <w:semiHidden/>
    <w:rsid w:val="006A58BF"/>
    <w:pPr>
      <w:spacing w:after="0" w:line="240" w:lineRule="auto"/>
    </w:pPr>
    <w:rPr>
      <w:rFonts w:ascii="Arial" w:eastAsia="Times New Roman" w:hAnsi="Arial"/>
      <w:sz w:val="20"/>
      <w:szCs w:val="20"/>
    </w:rPr>
  </w:style>
  <w:style w:type="character" w:customStyle="1" w:styleId="FootnoteTextChar">
    <w:name w:val="Footnote Text Char"/>
    <w:basedOn w:val="DefaultParagraphFont"/>
    <w:link w:val="FootnoteText"/>
    <w:semiHidden/>
    <w:rsid w:val="006A58BF"/>
    <w:rPr>
      <w:rFonts w:ascii="Arial" w:eastAsia="Times New Roman" w:hAnsi="Arial"/>
      <w:sz w:val="20"/>
      <w:szCs w:val="20"/>
    </w:rPr>
  </w:style>
  <w:style w:type="paragraph" w:styleId="PlainText">
    <w:name w:val="Plain Text"/>
    <w:basedOn w:val="Normal"/>
    <w:link w:val="PlainTextChar"/>
    <w:rsid w:val="00157D5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57D5F"/>
    <w:rPr>
      <w:rFonts w:ascii="Courier New" w:eastAsia="Times New Roman" w:hAnsi="Courier New" w:cs="Courier New"/>
      <w:sz w:val="20"/>
      <w:szCs w:val="20"/>
    </w:rPr>
  </w:style>
  <w:style w:type="character" w:styleId="FootnoteReference">
    <w:name w:val="footnote reference"/>
    <w:semiHidden/>
    <w:rsid w:val="00E955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98101">
      <w:bodyDiv w:val="1"/>
      <w:marLeft w:val="0"/>
      <w:marRight w:val="0"/>
      <w:marTop w:val="0"/>
      <w:marBottom w:val="0"/>
      <w:divBdr>
        <w:top w:val="none" w:sz="0" w:space="0" w:color="auto"/>
        <w:left w:val="none" w:sz="0" w:space="0" w:color="auto"/>
        <w:bottom w:val="none" w:sz="0" w:space="0" w:color="auto"/>
        <w:right w:val="none" w:sz="0" w:space="0" w:color="auto"/>
      </w:divBdr>
      <w:divsChild>
        <w:div w:id="1655529273">
          <w:marLeft w:val="0"/>
          <w:marRight w:val="0"/>
          <w:marTop w:val="0"/>
          <w:marBottom w:val="0"/>
          <w:divBdr>
            <w:top w:val="none" w:sz="0" w:space="0" w:color="auto"/>
            <w:left w:val="none" w:sz="0" w:space="0" w:color="auto"/>
            <w:bottom w:val="none" w:sz="0" w:space="0" w:color="auto"/>
            <w:right w:val="none" w:sz="0" w:space="0" w:color="auto"/>
          </w:divBdr>
        </w:div>
      </w:divsChild>
    </w:div>
    <w:div w:id="922835739">
      <w:bodyDiv w:val="1"/>
      <w:marLeft w:val="0"/>
      <w:marRight w:val="0"/>
      <w:marTop w:val="0"/>
      <w:marBottom w:val="0"/>
      <w:divBdr>
        <w:top w:val="none" w:sz="0" w:space="0" w:color="auto"/>
        <w:left w:val="none" w:sz="0" w:space="0" w:color="auto"/>
        <w:bottom w:val="none" w:sz="0" w:space="0" w:color="auto"/>
        <w:right w:val="none" w:sz="0" w:space="0" w:color="auto"/>
      </w:divBdr>
    </w:div>
    <w:div w:id="125982869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adwig\AppData\Local\Microsoft\Windows\Temporary%20Internet%20Files\Content.Outlook\PJSC5NH9\External%20Relations%20Letterhead%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7EE2F-8C10-4057-B79F-4FEE6DC2A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 Relations Letterhead - Template</Template>
  <TotalTime>4</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Cupery</dc:creator>
  <cp:lastModifiedBy>David Low</cp:lastModifiedBy>
  <cp:revision>4</cp:revision>
  <cp:lastPrinted>2018-04-20T23:20:00Z</cp:lastPrinted>
  <dcterms:created xsi:type="dcterms:W3CDTF">2023-10-24T16:55:00Z</dcterms:created>
  <dcterms:modified xsi:type="dcterms:W3CDTF">2023-10-24T17:47:00Z</dcterms:modified>
</cp:coreProperties>
</file>