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BCC" w:rsidRDefault="004C7BCC" w:rsidP="004C7BCC">
      <w:pPr>
        <w:tabs>
          <w:tab w:val="left" w:pos="2160"/>
        </w:tabs>
        <w:ind w:left="720"/>
        <w:rPr>
          <w:rFonts w:ascii="Helvetica" w:hAnsi="Helvetica"/>
          <w:i/>
          <w:sz w:val="22"/>
          <w:u w:val="single"/>
        </w:rPr>
      </w:pPr>
      <w:r>
        <w:rPr>
          <w:rFonts w:ascii="Helvetica" w:hAnsi="Helvetica"/>
          <w:sz w:val="22"/>
        </w:rPr>
        <w:t xml:space="preserve">J)  </w:t>
      </w:r>
      <w:r>
        <w:rPr>
          <w:rFonts w:ascii="Helvetica" w:hAnsi="Helvetica"/>
          <w:i/>
          <w:sz w:val="22"/>
          <w:u w:val="single"/>
        </w:rPr>
        <w:t>Undergraduate Curriculum Committee</w:t>
      </w:r>
    </w:p>
    <w:p w:rsidR="004C7BCC" w:rsidRDefault="004C7BCC" w:rsidP="004C7BCC">
      <w:pPr>
        <w:tabs>
          <w:tab w:val="left" w:pos="2160"/>
        </w:tabs>
        <w:ind w:left="720"/>
        <w:rPr>
          <w:rFonts w:ascii="Helvetica" w:hAnsi="Helvetica"/>
          <w:sz w:val="22"/>
        </w:rPr>
      </w:pPr>
    </w:p>
    <w:p w:rsidR="004C7BCC" w:rsidRDefault="004C7BCC" w:rsidP="004C7BCC">
      <w:pPr>
        <w:tabs>
          <w:tab w:val="left" w:pos="1350"/>
          <w:tab w:val="left" w:pos="2160"/>
        </w:tabs>
        <w:ind w:left="1350"/>
        <w:rPr>
          <w:rFonts w:ascii="Helvetica" w:hAnsi="Helvetica"/>
          <w:sz w:val="22"/>
        </w:rPr>
      </w:pPr>
      <w:r>
        <w:rPr>
          <w:rFonts w:ascii="Helvetica" w:hAnsi="Helvetica"/>
          <w:sz w:val="22"/>
        </w:rPr>
        <w:t>An Undergraduate Curriculum Committee shall be established as a Standing Committee of the Academic Senate.</w:t>
      </w:r>
    </w:p>
    <w:p w:rsidR="004C7BCC" w:rsidRDefault="004C7BCC" w:rsidP="004C7BCC">
      <w:pPr>
        <w:tabs>
          <w:tab w:val="left" w:pos="1350"/>
          <w:tab w:val="left" w:pos="2160"/>
        </w:tabs>
        <w:rPr>
          <w:rFonts w:ascii="Helvetica" w:hAnsi="Helvetica"/>
          <w:sz w:val="22"/>
        </w:rPr>
      </w:pPr>
    </w:p>
    <w:p w:rsidR="004C7BCC" w:rsidRPr="00BC2A8F" w:rsidRDefault="004C7BCC" w:rsidP="004C7BCC">
      <w:pPr>
        <w:numPr>
          <w:ilvl w:val="0"/>
          <w:numId w:val="1"/>
        </w:numPr>
        <w:tabs>
          <w:tab w:val="left" w:pos="1350"/>
          <w:tab w:val="left" w:pos="2160"/>
        </w:tabs>
        <w:ind w:firstLine="270"/>
        <w:rPr>
          <w:rFonts w:ascii="Helvetica" w:hAnsi="Helvetica"/>
          <w:sz w:val="22"/>
        </w:rPr>
      </w:pPr>
      <w:r>
        <w:rPr>
          <w:rFonts w:ascii="Helvetica" w:hAnsi="Helvetica"/>
          <w:i/>
          <w:sz w:val="22"/>
          <w:u w:val="single"/>
        </w:rPr>
        <w:t>Membership</w:t>
      </w:r>
    </w:p>
    <w:p w:rsidR="004C7BCC" w:rsidRDefault="004C7BCC" w:rsidP="004C7BCC">
      <w:pPr>
        <w:tabs>
          <w:tab w:val="left" w:pos="1350"/>
          <w:tab w:val="left" w:pos="2160"/>
        </w:tabs>
        <w:ind w:left="990"/>
        <w:rPr>
          <w:rFonts w:ascii="Helvetica" w:hAnsi="Helvetica"/>
          <w:i/>
          <w:sz w:val="22"/>
          <w:u w:val="single"/>
        </w:rPr>
      </w:pPr>
    </w:p>
    <w:p w:rsidR="004C7BCC" w:rsidRDefault="004C7BCC" w:rsidP="004C7BCC">
      <w:pPr>
        <w:tabs>
          <w:tab w:val="left" w:pos="1350"/>
          <w:tab w:val="left" w:pos="1440"/>
        </w:tabs>
        <w:ind w:left="1260" w:hanging="1980"/>
        <w:rPr>
          <w:rFonts w:ascii="Bookman Old Style" w:hAnsi="Bookman Old Style"/>
          <w:sz w:val="24"/>
          <w:szCs w:val="24"/>
        </w:rPr>
      </w:pPr>
      <w:r>
        <w:rPr>
          <w:rFonts w:ascii="Helvetica" w:hAnsi="Helvetica"/>
          <w:sz w:val="22"/>
        </w:rPr>
        <w:tab/>
      </w:r>
      <w:r w:rsidRPr="002574C0">
        <w:rPr>
          <w:rFonts w:ascii="Bookman Old Style" w:hAnsi="Bookman Old Style"/>
          <w:sz w:val="24"/>
          <w:szCs w:val="24"/>
        </w:rPr>
        <w:t xml:space="preserve">The Undergraduate Curriculum Committee shall be composed of one faculty member from each school, the University Librarian or designee (nonvoting), the Vice President for Academic Affairs (VPAA) or designee, and one representative appointed by Associated Students. No more than one faculty member will be from any one school or service area.  Members shall serve three year staggered terms. </w:t>
      </w:r>
    </w:p>
    <w:p w:rsidR="004C7BCC" w:rsidRPr="002574C0" w:rsidRDefault="004C7BCC" w:rsidP="004C7BCC">
      <w:pPr>
        <w:tabs>
          <w:tab w:val="left" w:pos="1350"/>
          <w:tab w:val="left" w:pos="1440"/>
        </w:tabs>
        <w:rPr>
          <w:rFonts w:ascii="Bookman Old Style" w:hAnsi="Bookman Old Style"/>
          <w:sz w:val="24"/>
          <w:szCs w:val="24"/>
        </w:rPr>
      </w:pPr>
      <w:r w:rsidRPr="002574C0">
        <w:rPr>
          <w:rFonts w:ascii="Bookman Old Style" w:hAnsi="Bookman Old Style"/>
          <w:sz w:val="24"/>
          <w:szCs w:val="24"/>
        </w:rPr>
        <w:t xml:space="preserve"> </w:t>
      </w:r>
    </w:p>
    <w:p w:rsidR="004C7BCC" w:rsidRPr="00BC2A8F" w:rsidRDefault="004C7BCC" w:rsidP="004C7BCC">
      <w:pPr>
        <w:tabs>
          <w:tab w:val="left" w:pos="1350"/>
          <w:tab w:val="left" w:pos="2160"/>
        </w:tabs>
        <w:ind w:left="990"/>
        <w:rPr>
          <w:rFonts w:ascii="Helvetica" w:hAnsi="Helvetica"/>
          <w:sz w:val="22"/>
        </w:rPr>
      </w:pPr>
    </w:p>
    <w:p w:rsidR="004C7BCC" w:rsidRDefault="004C7BCC" w:rsidP="004C7BCC">
      <w:pPr>
        <w:numPr>
          <w:ilvl w:val="0"/>
          <w:numId w:val="1"/>
        </w:numPr>
        <w:tabs>
          <w:tab w:val="left" w:pos="1350"/>
          <w:tab w:val="left" w:pos="2160"/>
        </w:tabs>
        <w:ind w:firstLine="270"/>
        <w:rPr>
          <w:rFonts w:ascii="Helvetica" w:hAnsi="Helvetica"/>
          <w:sz w:val="22"/>
        </w:rPr>
      </w:pPr>
      <w:r>
        <w:rPr>
          <w:rFonts w:ascii="Helvetica" w:hAnsi="Helvetica"/>
          <w:i/>
          <w:sz w:val="22"/>
          <w:u w:val="single"/>
        </w:rPr>
        <w:t>Responsibility</w:t>
      </w:r>
    </w:p>
    <w:p w:rsidR="004C7BCC" w:rsidRPr="00D0523F" w:rsidRDefault="004C7BCC" w:rsidP="004C7BCC">
      <w:pPr>
        <w:tabs>
          <w:tab w:val="left" w:pos="1350"/>
          <w:tab w:val="left" w:pos="2160"/>
        </w:tabs>
        <w:rPr>
          <w:rFonts w:ascii="Helvetica" w:hAnsi="Helvetica"/>
          <w:sz w:val="22"/>
        </w:rPr>
      </w:pPr>
    </w:p>
    <w:p w:rsidR="004C7BCC" w:rsidRDefault="004C7BCC" w:rsidP="004C7BCC">
      <w:pPr>
        <w:tabs>
          <w:tab w:val="left" w:pos="720"/>
          <w:tab w:val="left" w:pos="1440"/>
        </w:tabs>
        <w:ind w:left="1350"/>
        <w:rPr>
          <w:rFonts w:ascii="Bookman Old Style" w:hAnsi="Bookman Old Style"/>
          <w:sz w:val="24"/>
          <w:szCs w:val="24"/>
        </w:rPr>
      </w:pPr>
      <w:r w:rsidRPr="002574C0">
        <w:rPr>
          <w:rFonts w:ascii="Bookman Old Style" w:hAnsi="Bookman Old Style"/>
          <w:sz w:val="24"/>
          <w:szCs w:val="24"/>
        </w:rPr>
        <w:t>The Undergraduate Curriculum Committee shall be the deliberative body of the faculty on matters relating to university undergraduate curriculum, including but not limited to undergraduate: curriculum, degree and certificate programs, writ</w:t>
      </w:r>
      <w:r>
        <w:rPr>
          <w:rFonts w:ascii="Bookman Old Style" w:hAnsi="Bookman Old Style"/>
          <w:sz w:val="24"/>
          <w:szCs w:val="24"/>
        </w:rPr>
        <w:t>ing competency</w:t>
      </w:r>
      <w:r w:rsidRPr="002574C0">
        <w:rPr>
          <w:rFonts w:ascii="Bookman Old Style" w:hAnsi="Bookman Old Style"/>
          <w:sz w:val="24"/>
          <w:szCs w:val="24"/>
        </w:rPr>
        <w:t>,</w:t>
      </w:r>
      <w:r>
        <w:rPr>
          <w:rFonts w:ascii="Bookman Old Style" w:hAnsi="Bookman Old Style"/>
          <w:sz w:val="24"/>
          <w:szCs w:val="24"/>
        </w:rPr>
        <w:t xml:space="preserve"> online and blended course approval,</w:t>
      </w:r>
      <w:r w:rsidRPr="002574C0">
        <w:rPr>
          <w:rFonts w:ascii="Bookman Old Style" w:hAnsi="Bookman Old Style"/>
          <w:sz w:val="24"/>
          <w:szCs w:val="24"/>
        </w:rPr>
        <w:t xml:space="preserve"> multicultural/international graduation requirements, grading</w:t>
      </w:r>
      <w:r>
        <w:rPr>
          <w:rFonts w:ascii="Bookman Old Style" w:hAnsi="Bookman Old Style"/>
          <w:sz w:val="24"/>
          <w:szCs w:val="24"/>
        </w:rPr>
        <w:t xml:space="preserve"> and academic</w:t>
      </w:r>
      <w:r w:rsidRPr="002574C0">
        <w:rPr>
          <w:rFonts w:ascii="Bookman Old Style" w:hAnsi="Bookman Old Style"/>
          <w:sz w:val="24"/>
          <w:szCs w:val="24"/>
        </w:rPr>
        <w:t xml:space="preserve"> standards, admission, academi</w:t>
      </w:r>
      <w:r>
        <w:rPr>
          <w:rFonts w:ascii="Bookman Old Style" w:hAnsi="Bookman Old Style"/>
          <w:sz w:val="24"/>
          <w:szCs w:val="24"/>
        </w:rPr>
        <w:t>c eligibility</w:t>
      </w:r>
      <w:r w:rsidRPr="002574C0">
        <w:rPr>
          <w:rFonts w:ascii="Bookman Old Style" w:hAnsi="Bookman Old Style"/>
          <w:sz w:val="24"/>
          <w:szCs w:val="24"/>
        </w:rPr>
        <w:t>, and other aspects of instructional development and delivery.</w:t>
      </w:r>
    </w:p>
    <w:p w:rsidR="004C7BCC" w:rsidRPr="002574C0" w:rsidRDefault="004C7BCC" w:rsidP="004C7BCC">
      <w:pPr>
        <w:tabs>
          <w:tab w:val="left" w:pos="720"/>
          <w:tab w:val="left" w:pos="1440"/>
        </w:tabs>
        <w:ind w:left="1350"/>
        <w:rPr>
          <w:rFonts w:ascii="Bookman Old Style" w:hAnsi="Bookman Old Style"/>
          <w:sz w:val="24"/>
          <w:szCs w:val="24"/>
        </w:rPr>
      </w:pPr>
    </w:p>
    <w:p w:rsidR="004C7BCC" w:rsidRDefault="004C7BCC" w:rsidP="004C7BCC">
      <w:pPr>
        <w:tabs>
          <w:tab w:val="left" w:pos="720"/>
          <w:tab w:val="left" w:pos="1350"/>
        </w:tabs>
        <w:ind w:left="1980" w:hanging="198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The C</w:t>
      </w:r>
      <w:r w:rsidRPr="002574C0">
        <w:rPr>
          <w:rFonts w:ascii="Bookman Old Style" w:hAnsi="Bookman Old Style"/>
          <w:sz w:val="24"/>
          <w:szCs w:val="24"/>
        </w:rPr>
        <w:t>ommittee's area of concern includes the following:</w:t>
      </w:r>
    </w:p>
    <w:p w:rsidR="004C7BCC" w:rsidRPr="002574C0" w:rsidRDefault="004C7BCC" w:rsidP="004C7BCC">
      <w:pPr>
        <w:tabs>
          <w:tab w:val="left" w:pos="720"/>
          <w:tab w:val="left" w:pos="1350"/>
        </w:tabs>
        <w:ind w:left="1980" w:hanging="1980"/>
        <w:rPr>
          <w:rFonts w:ascii="Bookman Old Style" w:hAnsi="Bookman Old Style"/>
          <w:sz w:val="24"/>
          <w:szCs w:val="24"/>
        </w:rPr>
      </w:pPr>
    </w:p>
    <w:p w:rsidR="004C7BCC" w:rsidRDefault="004C7BCC" w:rsidP="004C7BCC">
      <w:pPr>
        <w:numPr>
          <w:ilvl w:val="0"/>
          <w:numId w:val="2"/>
        </w:numPr>
        <w:tabs>
          <w:tab w:val="left" w:pos="720"/>
        </w:tabs>
        <w:jc w:val="both"/>
        <w:rPr>
          <w:rFonts w:ascii="Bookman Old Style" w:hAnsi="Bookman Old Style"/>
          <w:sz w:val="24"/>
          <w:szCs w:val="24"/>
        </w:rPr>
      </w:pPr>
      <w:r>
        <w:rPr>
          <w:rFonts w:ascii="Bookman Old Style" w:hAnsi="Bookman Old Style"/>
          <w:sz w:val="24"/>
          <w:szCs w:val="24"/>
        </w:rPr>
        <w:t>Review and approve all new and revised undergraduate course proposals.</w:t>
      </w:r>
    </w:p>
    <w:p w:rsidR="004C7BCC" w:rsidRDefault="004C7BCC" w:rsidP="004C7BCC">
      <w:pPr>
        <w:tabs>
          <w:tab w:val="left" w:pos="720"/>
        </w:tabs>
        <w:ind w:left="2340"/>
        <w:jc w:val="both"/>
        <w:rPr>
          <w:rFonts w:ascii="Bookman Old Style" w:hAnsi="Bookman Old Style"/>
          <w:sz w:val="24"/>
          <w:szCs w:val="24"/>
        </w:rPr>
      </w:pPr>
    </w:p>
    <w:p w:rsidR="004C7BCC" w:rsidRPr="00D0523F" w:rsidRDefault="004C7BCC" w:rsidP="004C7BCC">
      <w:pPr>
        <w:numPr>
          <w:ilvl w:val="0"/>
          <w:numId w:val="2"/>
        </w:numPr>
        <w:tabs>
          <w:tab w:val="left" w:pos="720"/>
        </w:tabs>
        <w:jc w:val="both"/>
        <w:rPr>
          <w:rFonts w:ascii="Bookman Old Style" w:hAnsi="Bookman Old Style"/>
          <w:sz w:val="24"/>
          <w:szCs w:val="24"/>
        </w:rPr>
      </w:pPr>
      <w:r w:rsidRPr="002574C0">
        <w:rPr>
          <w:rFonts w:ascii="Bookman Old Style" w:hAnsi="Bookman Old Style"/>
          <w:sz w:val="24"/>
          <w:szCs w:val="24"/>
        </w:rPr>
        <w:t>Review of campus curriculum policy and procedures to ensure campus compliance with</w:t>
      </w:r>
      <w:r>
        <w:rPr>
          <w:rFonts w:ascii="Bookman Old Style" w:hAnsi="Bookman Old Style"/>
          <w:sz w:val="24"/>
          <w:szCs w:val="24"/>
        </w:rPr>
        <w:t xml:space="preserve"> system wide curriculum policy.</w:t>
      </w:r>
    </w:p>
    <w:p w:rsidR="004C7BCC" w:rsidRDefault="004C7BCC" w:rsidP="004C7BCC">
      <w:pPr>
        <w:pStyle w:val="ListParagraph"/>
        <w:rPr>
          <w:rFonts w:ascii="Bookman Old Style" w:hAnsi="Bookman Old Style"/>
          <w:sz w:val="24"/>
          <w:szCs w:val="24"/>
        </w:rPr>
      </w:pPr>
    </w:p>
    <w:p w:rsidR="004C7BCC" w:rsidRDefault="004C7BCC" w:rsidP="004C7BCC">
      <w:pPr>
        <w:numPr>
          <w:ilvl w:val="0"/>
          <w:numId w:val="2"/>
        </w:numPr>
        <w:tabs>
          <w:tab w:val="left" w:pos="720"/>
          <w:tab w:val="left" w:pos="1440"/>
        </w:tabs>
        <w:rPr>
          <w:rFonts w:ascii="Bookman Old Style" w:hAnsi="Bookman Old Style"/>
          <w:sz w:val="24"/>
          <w:szCs w:val="24"/>
        </w:rPr>
      </w:pPr>
      <w:r w:rsidRPr="002574C0">
        <w:rPr>
          <w:rFonts w:ascii="Bookman Old Style" w:hAnsi="Bookman Old Style"/>
          <w:sz w:val="24"/>
          <w:szCs w:val="24"/>
        </w:rPr>
        <w:t>Review of new departmental and inter</w:t>
      </w:r>
      <w:r w:rsidRPr="002574C0">
        <w:rPr>
          <w:rFonts w:ascii="Bookman Old Style" w:hAnsi="Bookman Old Style"/>
          <w:sz w:val="24"/>
          <w:szCs w:val="24"/>
        </w:rPr>
        <w:softHyphen/>
        <w:t>departmental academic program proposals in light of existing undergraduate curriculum policy in order to recommend operational decisions to the VPAA. This review will include appropriate consultation with any department and existing academic programs which ma</w:t>
      </w:r>
      <w:r>
        <w:rPr>
          <w:rFonts w:ascii="Bookman Old Style" w:hAnsi="Bookman Old Style"/>
          <w:sz w:val="24"/>
          <w:szCs w:val="24"/>
        </w:rPr>
        <w:t>y be affected by the proposals.</w:t>
      </w:r>
    </w:p>
    <w:p w:rsidR="004C7BCC" w:rsidRDefault="004C7BCC" w:rsidP="004C7BCC">
      <w:pPr>
        <w:pStyle w:val="ListParagraph"/>
        <w:rPr>
          <w:rFonts w:ascii="Bookman Old Style" w:hAnsi="Bookman Old Style"/>
          <w:sz w:val="24"/>
          <w:szCs w:val="24"/>
        </w:rPr>
      </w:pPr>
    </w:p>
    <w:p w:rsidR="004C7BCC" w:rsidRDefault="004C7BCC" w:rsidP="004C7BCC">
      <w:pPr>
        <w:numPr>
          <w:ilvl w:val="0"/>
          <w:numId w:val="2"/>
        </w:numPr>
        <w:tabs>
          <w:tab w:val="left" w:pos="720"/>
          <w:tab w:val="left" w:pos="1440"/>
        </w:tabs>
        <w:rPr>
          <w:rFonts w:ascii="Bookman Old Style" w:hAnsi="Bookman Old Style"/>
          <w:sz w:val="24"/>
          <w:szCs w:val="24"/>
        </w:rPr>
      </w:pPr>
      <w:r w:rsidRPr="002574C0">
        <w:rPr>
          <w:rFonts w:ascii="Bookman Old Style" w:hAnsi="Bookman Old Style"/>
          <w:sz w:val="24"/>
          <w:szCs w:val="24"/>
        </w:rPr>
        <w:t xml:space="preserve">Development of procedures for the submission of new courses. These procedures will include appropriate </w:t>
      </w:r>
      <w:r w:rsidRPr="002574C0">
        <w:rPr>
          <w:rFonts w:ascii="Bookman Old Style" w:hAnsi="Bookman Old Style"/>
          <w:sz w:val="24"/>
          <w:szCs w:val="24"/>
        </w:rPr>
        <w:lastRenderedPageBreak/>
        <w:t>consultation with any departments and academic programs which might be affect</w:t>
      </w:r>
      <w:r>
        <w:rPr>
          <w:rFonts w:ascii="Bookman Old Style" w:hAnsi="Bookman Old Style"/>
          <w:sz w:val="24"/>
          <w:szCs w:val="24"/>
        </w:rPr>
        <w:t>ed by the new course proposals.</w:t>
      </w:r>
    </w:p>
    <w:p w:rsidR="004C7BCC" w:rsidRDefault="004C7BCC" w:rsidP="004C7BCC">
      <w:pPr>
        <w:pStyle w:val="ListParagraph"/>
        <w:rPr>
          <w:rFonts w:ascii="Bookman Old Style" w:hAnsi="Bookman Old Style"/>
          <w:sz w:val="24"/>
          <w:szCs w:val="24"/>
        </w:rPr>
      </w:pPr>
    </w:p>
    <w:p w:rsidR="004C7BCC" w:rsidRDefault="004C7BCC" w:rsidP="004C7BCC">
      <w:pPr>
        <w:numPr>
          <w:ilvl w:val="0"/>
          <w:numId w:val="2"/>
        </w:numPr>
        <w:tabs>
          <w:tab w:val="left" w:pos="720"/>
          <w:tab w:val="left" w:pos="1440"/>
        </w:tabs>
        <w:rPr>
          <w:rFonts w:ascii="Bookman Old Style" w:hAnsi="Bookman Old Style"/>
          <w:sz w:val="24"/>
          <w:szCs w:val="24"/>
        </w:rPr>
      </w:pPr>
      <w:r w:rsidRPr="002574C0">
        <w:rPr>
          <w:rFonts w:ascii="Bookman Old Style" w:hAnsi="Bookman Old Style"/>
          <w:sz w:val="24"/>
          <w:szCs w:val="24"/>
        </w:rPr>
        <w:t>System wide review on five</w:t>
      </w:r>
      <w:r w:rsidRPr="002574C0">
        <w:rPr>
          <w:rFonts w:ascii="Bookman Old Style" w:hAnsi="Bookman Old Style"/>
          <w:sz w:val="24"/>
          <w:szCs w:val="24"/>
        </w:rPr>
        <w:softHyphen/>
        <w:t xml:space="preserve"> year cycles of undergraduate academic programs as part of an on</w:t>
      </w:r>
      <w:r w:rsidRPr="002574C0">
        <w:rPr>
          <w:rFonts w:ascii="Bookman Old Style" w:hAnsi="Bookman Old Style"/>
          <w:sz w:val="24"/>
          <w:szCs w:val="24"/>
        </w:rPr>
        <w:softHyphen/>
        <w:t>going Academic Master Plan Program Review, with recommendati</w:t>
      </w:r>
      <w:r>
        <w:rPr>
          <w:rFonts w:ascii="Bookman Old Style" w:hAnsi="Bookman Old Style"/>
          <w:sz w:val="24"/>
          <w:szCs w:val="24"/>
        </w:rPr>
        <w:t>ons to the VPAA as appropriate.</w:t>
      </w:r>
    </w:p>
    <w:p w:rsidR="004C7BCC" w:rsidRDefault="004C7BCC" w:rsidP="004C7BCC">
      <w:pPr>
        <w:pStyle w:val="ListParagraph"/>
        <w:rPr>
          <w:rFonts w:ascii="Bookman Old Style" w:hAnsi="Bookman Old Style"/>
          <w:sz w:val="24"/>
          <w:szCs w:val="24"/>
        </w:rPr>
      </w:pPr>
    </w:p>
    <w:p w:rsidR="004C7BCC" w:rsidRDefault="004C7BCC" w:rsidP="004C7BCC">
      <w:pPr>
        <w:numPr>
          <w:ilvl w:val="0"/>
          <w:numId w:val="2"/>
        </w:numPr>
        <w:tabs>
          <w:tab w:val="left" w:pos="720"/>
          <w:tab w:val="left" w:pos="1440"/>
        </w:tabs>
        <w:rPr>
          <w:rFonts w:ascii="Bookman Old Style" w:hAnsi="Bookman Old Style"/>
          <w:sz w:val="24"/>
          <w:szCs w:val="24"/>
        </w:rPr>
      </w:pPr>
      <w:r w:rsidRPr="002574C0">
        <w:rPr>
          <w:rFonts w:ascii="Bookman Old Style" w:hAnsi="Bookman Old Style"/>
          <w:sz w:val="24"/>
          <w:szCs w:val="24"/>
        </w:rPr>
        <w:t>Review of articulation agreements with community colleges including the making of recommendations to the VPAA as appropriate.</w:t>
      </w:r>
    </w:p>
    <w:p w:rsidR="004C7BCC" w:rsidRDefault="004C7BCC" w:rsidP="004C7BCC">
      <w:pPr>
        <w:pStyle w:val="ListParagraph"/>
        <w:rPr>
          <w:rFonts w:ascii="Bookman Old Style" w:hAnsi="Bookman Old Style"/>
          <w:sz w:val="24"/>
          <w:szCs w:val="24"/>
        </w:rPr>
      </w:pPr>
    </w:p>
    <w:p w:rsidR="004C7BCC" w:rsidRDefault="004C7BCC" w:rsidP="004C7BCC">
      <w:pPr>
        <w:numPr>
          <w:ilvl w:val="0"/>
          <w:numId w:val="2"/>
        </w:numPr>
        <w:tabs>
          <w:tab w:val="left" w:pos="720"/>
          <w:tab w:val="left" w:pos="1440"/>
        </w:tabs>
        <w:rPr>
          <w:rFonts w:ascii="Bookman Old Style" w:hAnsi="Bookman Old Style"/>
          <w:sz w:val="24"/>
          <w:szCs w:val="24"/>
        </w:rPr>
      </w:pPr>
      <w:r w:rsidRPr="002574C0">
        <w:rPr>
          <w:rFonts w:ascii="Bookman Old Style" w:hAnsi="Bookman Old Style"/>
          <w:sz w:val="24"/>
          <w:szCs w:val="24"/>
        </w:rPr>
        <w:t>Provide o</w:t>
      </w:r>
      <w:r>
        <w:rPr>
          <w:rFonts w:ascii="Bookman Old Style" w:hAnsi="Bookman Old Style"/>
          <w:sz w:val="24"/>
          <w:szCs w:val="24"/>
        </w:rPr>
        <w:t>versight of the Online and Blended Courses</w:t>
      </w:r>
      <w:r w:rsidRPr="002574C0">
        <w:rPr>
          <w:rFonts w:ascii="Bookman Old Style" w:hAnsi="Bookman Old Style"/>
          <w:sz w:val="24"/>
          <w:szCs w:val="24"/>
        </w:rPr>
        <w:t xml:space="preserve"> Subcommittee, The Writing Subcommittee, and the Multicultural/International</w:t>
      </w:r>
      <w:r>
        <w:rPr>
          <w:rFonts w:ascii="Bookman Old Style" w:hAnsi="Bookman Old Style"/>
          <w:sz w:val="24"/>
          <w:szCs w:val="24"/>
        </w:rPr>
        <w:t xml:space="preserve"> Subcommittee</w:t>
      </w:r>
      <w:r w:rsidRPr="002574C0">
        <w:rPr>
          <w:rFonts w:ascii="Bookman Old Style" w:hAnsi="Bookman Old Style"/>
          <w:sz w:val="24"/>
          <w:szCs w:val="24"/>
        </w:rPr>
        <w:t>.</w:t>
      </w:r>
    </w:p>
    <w:p w:rsidR="004C7BCC" w:rsidRDefault="004C7BCC" w:rsidP="004C7BCC">
      <w:pPr>
        <w:pStyle w:val="ListParagraph"/>
        <w:rPr>
          <w:rFonts w:ascii="Bookman Old Style" w:hAnsi="Bookman Old Style"/>
          <w:sz w:val="24"/>
          <w:szCs w:val="24"/>
        </w:rPr>
      </w:pPr>
    </w:p>
    <w:p w:rsidR="004C7BCC" w:rsidRDefault="004C7BCC" w:rsidP="004C7BCC">
      <w:pPr>
        <w:numPr>
          <w:ilvl w:val="0"/>
          <w:numId w:val="2"/>
        </w:numPr>
        <w:tabs>
          <w:tab w:val="left" w:pos="720"/>
          <w:tab w:val="left" w:pos="1440"/>
        </w:tabs>
        <w:rPr>
          <w:rFonts w:ascii="Bookman Old Style" w:hAnsi="Bookman Old Style"/>
          <w:sz w:val="24"/>
          <w:szCs w:val="24"/>
        </w:rPr>
      </w:pPr>
      <w:r w:rsidRPr="002574C0">
        <w:rPr>
          <w:rFonts w:ascii="Bookman Old Style" w:hAnsi="Bookman Old Style"/>
          <w:sz w:val="24"/>
          <w:szCs w:val="24"/>
        </w:rPr>
        <w:t>Five-</w:t>
      </w:r>
      <w:r w:rsidRPr="002574C0">
        <w:rPr>
          <w:rFonts w:ascii="Bookman Old Style" w:hAnsi="Bookman Old Style"/>
          <w:sz w:val="24"/>
          <w:szCs w:val="24"/>
        </w:rPr>
        <w:softHyphen/>
        <w:t>year cyc</w:t>
      </w:r>
      <w:r>
        <w:rPr>
          <w:rFonts w:ascii="Bookman Old Style" w:hAnsi="Bookman Old Style"/>
          <w:sz w:val="24"/>
          <w:szCs w:val="24"/>
        </w:rPr>
        <w:t>lic University</w:t>
      </w:r>
      <w:r>
        <w:rPr>
          <w:rFonts w:ascii="Bookman Old Style" w:hAnsi="Bookman Old Style"/>
          <w:sz w:val="24"/>
          <w:szCs w:val="24"/>
        </w:rPr>
        <w:softHyphen/>
        <w:t xml:space="preserve"> wide review of:</w:t>
      </w:r>
    </w:p>
    <w:p w:rsidR="004C7BCC" w:rsidRDefault="004C7BCC" w:rsidP="004C7BCC">
      <w:pPr>
        <w:pStyle w:val="ListParagraph"/>
        <w:rPr>
          <w:rFonts w:ascii="Bookman Old Style" w:hAnsi="Bookman Old Style"/>
          <w:sz w:val="24"/>
          <w:szCs w:val="24"/>
        </w:rPr>
      </w:pPr>
    </w:p>
    <w:p w:rsidR="004C7BCC" w:rsidRPr="002574C0" w:rsidRDefault="004C7BCC" w:rsidP="004C7BCC">
      <w:pPr>
        <w:tabs>
          <w:tab w:val="left" w:pos="720"/>
          <w:tab w:val="left" w:pos="1440"/>
        </w:tabs>
        <w:ind w:left="2340"/>
        <w:rPr>
          <w:rFonts w:ascii="Bookman Old Style" w:hAnsi="Bookman Old Style"/>
          <w:sz w:val="24"/>
          <w:szCs w:val="24"/>
        </w:rPr>
      </w:pPr>
    </w:p>
    <w:p w:rsidR="004C7BCC" w:rsidRPr="002574C0" w:rsidRDefault="004C7BCC" w:rsidP="004C7BCC">
      <w:pPr>
        <w:tabs>
          <w:tab w:val="left" w:pos="1440"/>
        </w:tabs>
        <w:ind w:left="1980" w:hanging="126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roofErr w:type="spellStart"/>
      <w:proofErr w:type="gramStart"/>
      <w:r>
        <w:rPr>
          <w:rFonts w:ascii="Bookman Old Style" w:hAnsi="Bookman Old Style"/>
          <w:sz w:val="24"/>
          <w:szCs w:val="24"/>
        </w:rPr>
        <w:t>i</w:t>
      </w:r>
      <w:proofErr w:type="spellEnd"/>
      <w:proofErr w:type="gramEnd"/>
      <w:r>
        <w:rPr>
          <w:rFonts w:ascii="Bookman Old Style" w:hAnsi="Bookman Old Style"/>
          <w:sz w:val="24"/>
          <w:szCs w:val="24"/>
        </w:rPr>
        <w:t xml:space="preserve">. </w:t>
      </w:r>
      <w:r w:rsidRPr="002574C0">
        <w:rPr>
          <w:rFonts w:ascii="Bookman Old Style" w:hAnsi="Bookman Old Style"/>
          <w:sz w:val="24"/>
          <w:szCs w:val="24"/>
        </w:rPr>
        <w:t xml:space="preserve">topics course designations </w:t>
      </w:r>
    </w:p>
    <w:p w:rsidR="004C7BCC" w:rsidRPr="002574C0" w:rsidRDefault="004C7BCC" w:rsidP="004C7BCC">
      <w:pPr>
        <w:tabs>
          <w:tab w:val="left" w:pos="1440"/>
        </w:tabs>
        <w:ind w:left="1980" w:hanging="126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ii. </w:t>
      </w:r>
      <w:proofErr w:type="gramStart"/>
      <w:r w:rsidRPr="002574C0">
        <w:rPr>
          <w:rFonts w:ascii="Bookman Old Style" w:hAnsi="Bookman Old Style"/>
          <w:sz w:val="24"/>
          <w:szCs w:val="24"/>
        </w:rPr>
        <w:t>catalog</w:t>
      </w:r>
      <w:proofErr w:type="gramEnd"/>
      <w:r w:rsidRPr="002574C0">
        <w:rPr>
          <w:rFonts w:ascii="Bookman Old Style" w:hAnsi="Bookman Old Style"/>
          <w:sz w:val="24"/>
          <w:szCs w:val="24"/>
        </w:rPr>
        <w:t xml:space="preserve"> course descriptions </w:t>
      </w:r>
    </w:p>
    <w:p w:rsidR="004C7BCC" w:rsidRPr="002574C0" w:rsidRDefault="004C7BCC" w:rsidP="004C7BCC">
      <w:pPr>
        <w:tabs>
          <w:tab w:val="left" w:pos="1440"/>
        </w:tabs>
        <w:ind w:left="1980" w:hanging="126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iii. </w:t>
      </w:r>
      <w:proofErr w:type="gramStart"/>
      <w:r w:rsidRPr="002574C0">
        <w:rPr>
          <w:rFonts w:ascii="Bookman Old Style" w:hAnsi="Bookman Old Style"/>
          <w:sz w:val="24"/>
          <w:szCs w:val="24"/>
        </w:rPr>
        <w:t>courses</w:t>
      </w:r>
      <w:proofErr w:type="gramEnd"/>
      <w:r w:rsidRPr="002574C0">
        <w:rPr>
          <w:rFonts w:ascii="Bookman Old Style" w:hAnsi="Bookman Old Style"/>
          <w:sz w:val="24"/>
          <w:szCs w:val="24"/>
        </w:rPr>
        <w:t xml:space="preserve"> for which credit/no credit is appropriate </w:t>
      </w:r>
    </w:p>
    <w:p w:rsidR="004C7BCC" w:rsidRPr="002574C0" w:rsidRDefault="004C7BCC" w:rsidP="004C7BCC">
      <w:pPr>
        <w:tabs>
          <w:tab w:val="left" w:pos="1440"/>
        </w:tabs>
        <w:ind w:left="1980" w:hanging="126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iv. </w:t>
      </w:r>
      <w:proofErr w:type="gramStart"/>
      <w:r w:rsidRPr="002574C0">
        <w:rPr>
          <w:rFonts w:ascii="Bookman Old Style" w:hAnsi="Bookman Old Style"/>
          <w:sz w:val="24"/>
          <w:szCs w:val="24"/>
        </w:rPr>
        <w:t>lower</w:t>
      </w:r>
      <w:proofErr w:type="gramEnd"/>
      <w:r w:rsidRPr="002574C0">
        <w:rPr>
          <w:rFonts w:ascii="Bookman Old Style" w:hAnsi="Bookman Old Style"/>
          <w:sz w:val="24"/>
          <w:szCs w:val="24"/>
        </w:rPr>
        <w:t xml:space="preserve"> division and upper division course designations </w:t>
      </w:r>
    </w:p>
    <w:p w:rsidR="004C7BCC" w:rsidRPr="002574C0" w:rsidRDefault="004C7BCC" w:rsidP="004C7BCC">
      <w:pPr>
        <w:tabs>
          <w:tab w:val="left" w:pos="1440"/>
        </w:tabs>
        <w:ind w:left="1980" w:hanging="126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roofErr w:type="gramStart"/>
      <w:r>
        <w:rPr>
          <w:rFonts w:ascii="Bookman Old Style" w:hAnsi="Bookman Old Style"/>
          <w:sz w:val="24"/>
          <w:szCs w:val="24"/>
        </w:rPr>
        <w:t>v</w:t>
      </w:r>
      <w:proofErr w:type="gramEnd"/>
      <w:r>
        <w:rPr>
          <w:rFonts w:ascii="Bookman Old Style" w:hAnsi="Bookman Old Style"/>
          <w:sz w:val="24"/>
          <w:szCs w:val="24"/>
        </w:rPr>
        <w:t xml:space="preserve">. </w:t>
      </w:r>
      <w:r w:rsidRPr="002574C0">
        <w:rPr>
          <w:rFonts w:ascii="Bookman Old Style" w:hAnsi="Bookman Old Style"/>
          <w:sz w:val="24"/>
          <w:szCs w:val="24"/>
        </w:rPr>
        <w:t xml:space="preserve">courses appropriate for </w:t>
      </w:r>
      <w:proofErr w:type="spellStart"/>
      <w:r w:rsidRPr="002574C0">
        <w:rPr>
          <w:rFonts w:ascii="Bookman Old Style" w:hAnsi="Bookman Old Style"/>
          <w:sz w:val="24"/>
          <w:szCs w:val="24"/>
        </w:rPr>
        <w:t>non</w:t>
      </w:r>
      <w:r w:rsidRPr="002574C0">
        <w:rPr>
          <w:rFonts w:ascii="Bookman Old Style" w:hAnsi="Bookman Old Style"/>
          <w:sz w:val="24"/>
          <w:szCs w:val="24"/>
        </w:rPr>
        <w:softHyphen/>
        <w:t>baccalaureate</w:t>
      </w:r>
      <w:proofErr w:type="spellEnd"/>
      <w:r w:rsidRPr="002574C0">
        <w:rPr>
          <w:rFonts w:ascii="Bookman Old Style" w:hAnsi="Bookman Old Style"/>
          <w:sz w:val="24"/>
          <w:szCs w:val="24"/>
        </w:rPr>
        <w:t xml:space="preserve"> credit </w:t>
      </w:r>
    </w:p>
    <w:p w:rsidR="004C7BCC" w:rsidRPr="002574C0" w:rsidRDefault="004C7BCC" w:rsidP="004C7BCC">
      <w:pPr>
        <w:tabs>
          <w:tab w:val="left" w:pos="1440"/>
        </w:tabs>
        <w:ind w:left="1980" w:hanging="126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vi. </w:t>
      </w:r>
      <w:proofErr w:type="gramStart"/>
      <w:r w:rsidRPr="002574C0">
        <w:rPr>
          <w:rFonts w:ascii="Bookman Old Style" w:hAnsi="Bookman Old Style"/>
          <w:sz w:val="24"/>
          <w:szCs w:val="24"/>
        </w:rPr>
        <w:t>major</w:t>
      </w:r>
      <w:proofErr w:type="gramEnd"/>
      <w:r w:rsidRPr="002574C0">
        <w:rPr>
          <w:rFonts w:ascii="Bookman Old Style" w:hAnsi="Bookman Old Style"/>
          <w:sz w:val="24"/>
          <w:szCs w:val="24"/>
        </w:rPr>
        <w:t xml:space="preserve"> and minor requirements </w:t>
      </w:r>
    </w:p>
    <w:p w:rsidR="004C7BCC" w:rsidRPr="002574C0" w:rsidRDefault="004C7BCC" w:rsidP="004C7BCC">
      <w:pPr>
        <w:tabs>
          <w:tab w:val="left" w:pos="1440"/>
        </w:tabs>
        <w:ind w:left="1980" w:hanging="126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vii. </w:t>
      </w:r>
      <w:proofErr w:type="gramStart"/>
      <w:r w:rsidRPr="002574C0">
        <w:rPr>
          <w:rFonts w:ascii="Bookman Old Style" w:hAnsi="Bookman Old Style"/>
          <w:sz w:val="24"/>
          <w:szCs w:val="24"/>
        </w:rPr>
        <w:t>course</w:t>
      </w:r>
      <w:proofErr w:type="gramEnd"/>
      <w:r w:rsidRPr="002574C0">
        <w:rPr>
          <w:rFonts w:ascii="Bookman Old Style" w:hAnsi="Bookman Old Style"/>
          <w:sz w:val="24"/>
          <w:szCs w:val="24"/>
        </w:rPr>
        <w:t xml:space="preserve"> prerequisites </w:t>
      </w:r>
    </w:p>
    <w:p w:rsidR="004C7BCC" w:rsidRPr="002574C0" w:rsidRDefault="004C7BCC" w:rsidP="004C7BCC">
      <w:pPr>
        <w:tabs>
          <w:tab w:val="left" w:pos="1440"/>
        </w:tabs>
        <w:ind w:left="1980" w:hanging="126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viii. </w:t>
      </w:r>
      <w:proofErr w:type="gramStart"/>
      <w:r w:rsidRPr="002574C0">
        <w:rPr>
          <w:rFonts w:ascii="Bookman Old Style" w:hAnsi="Bookman Old Style"/>
          <w:sz w:val="24"/>
          <w:szCs w:val="24"/>
        </w:rPr>
        <w:t>course</w:t>
      </w:r>
      <w:proofErr w:type="gramEnd"/>
      <w:r w:rsidRPr="002574C0">
        <w:rPr>
          <w:rFonts w:ascii="Bookman Old Style" w:hAnsi="Bookman Old Style"/>
          <w:sz w:val="24"/>
          <w:szCs w:val="24"/>
        </w:rPr>
        <w:t xml:space="preserve"> duplication </w:t>
      </w:r>
    </w:p>
    <w:p w:rsidR="004C7BCC" w:rsidRPr="002574C0" w:rsidRDefault="004C7BCC" w:rsidP="004C7BCC">
      <w:pPr>
        <w:tabs>
          <w:tab w:val="left" w:pos="1440"/>
        </w:tabs>
        <w:ind w:left="2160" w:hanging="126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ix. </w:t>
      </w:r>
      <w:proofErr w:type="gramStart"/>
      <w:r w:rsidRPr="002574C0">
        <w:rPr>
          <w:rFonts w:ascii="Bookman Old Style" w:hAnsi="Bookman Old Style"/>
          <w:sz w:val="24"/>
          <w:szCs w:val="24"/>
        </w:rPr>
        <w:t>other</w:t>
      </w:r>
      <w:proofErr w:type="gramEnd"/>
      <w:r w:rsidRPr="002574C0">
        <w:rPr>
          <w:rFonts w:ascii="Bookman Old Style" w:hAnsi="Bookman Old Style"/>
          <w:sz w:val="24"/>
          <w:szCs w:val="24"/>
        </w:rPr>
        <w:t xml:space="preserve"> matters as deemed appropriate by Academic Senate or </w:t>
      </w:r>
      <w:r>
        <w:rPr>
          <w:rFonts w:ascii="Bookman Old Style" w:hAnsi="Bookman Old Style"/>
          <w:sz w:val="24"/>
          <w:szCs w:val="24"/>
        </w:rPr>
        <w:t>by the VPAA</w:t>
      </w:r>
      <w:r w:rsidRPr="002574C0">
        <w:rPr>
          <w:rFonts w:ascii="Bookman Old Style" w:hAnsi="Bookman Old Style"/>
          <w:sz w:val="24"/>
          <w:szCs w:val="24"/>
        </w:rPr>
        <w:t xml:space="preserve">. </w:t>
      </w:r>
    </w:p>
    <w:p w:rsidR="006F556F" w:rsidRDefault="006F556F">
      <w:bookmarkStart w:id="0" w:name="_GoBack"/>
      <w:bookmarkEnd w:id="0"/>
    </w:p>
    <w:sectPr w:rsidR="006F5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076C2"/>
    <w:multiLevelType w:val="hybridMultilevel"/>
    <w:tmpl w:val="D858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A789F"/>
    <w:multiLevelType w:val="hybridMultilevel"/>
    <w:tmpl w:val="28E66DBC"/>
    <w:lvl w:ilvl="0" w:tplc="2C5AC92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CC"/>
    <w:rsid w:val="004C7BCC"/>
    <w:rsid w:val="006F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9FB56-C326-4BF2-9D09-08A80476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BCC"/>
    <w:pPr>
      <w:overflowPunct w:val="0"/>
      <w:autoSpaceDE w:val="0"/>
      <w:autoSpaceDN w:val="0"/>
      <w:adjustRightInd w:val="0"/>
      <w:spacing w:after="0" w:line="240" w:lineRule="auto"/>
      <w:textAlignment w:val="baseline"/>
    </w:pPr>
    <w:rPr>
      <w:rFonts w:ascii="Times" w:eastAsia="Times New Roman" w:hAns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B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Venita Baker</dc:creator>
  <cp:keywords/>
  <dc:description/>
  <cp:lastModifiedBy>Venita Baker</cp:lastModifiedBy>
  <cp:revision>1</cp:revision>
  <dcterms:created xsi:type="dcterms:W3CDTF">2020-01-13T21:09:00Z</dcterms:created>
  <dcterms:modified xsi:type="dcterms:W3CDTF">2020-01-13T21:10:00Z</dcterms:modified>
</cp:coreProperties>
</file>