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2202"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41EE9745"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proofErr w:type="gramStart"/>
      <w:r w:rsidR="0040569B">
        <w:rPr>
          <w:rFonts w:ascii="Times New Roman" w:hAnsi="Times New Roman" w:cs="Times New Roman"/>
          <w:sz w:val="24"/>
          <w:szCs w:val="24"/>
        </w:rPr>
        <w:t xml:space="preserve"> 2021</w:t>
      </w:r>
      <w:proofErr w:type="gramEnd"/>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7588E097" w14:textId="3B7ECC3C" w:rsidR="0040569B"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0A6DE3C1" w14:textId="77777777" w:rsidR="009E7370" w:rsidRDefault="009E7370">
      <w:pPr>
        <w:rPr>
          <w:rFonts w:ascii="Times New Roman" w:hAnsi="Times New Roman" w:cs="Times New Roman"/>
          <w:sz w:val="24"/>
          <w:szCs w:val="24"/>
        </w:rPr>
      </w:pPr>
    </w:p>
    <w:p w14:paraId="1F1CF3DF" w14:textId="1EBC3E94"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w:t>
      </w:r>
      <w:r w:rsidR="00445C6C">
        <w:rPr>
          <w:rFonts w:ascii="Times New Roman" w:hAnsi="Times New Roman" w:cs="Times New Roman"/>
          <w:sz w:val="24"/>
          <w:szCs w:val="24"/>
        </w:rPr>
        <w:t>Physics</w:t>
      </w:r>
      <w:r>
        <w:rPr>
          <w:rFonts w:ascii="Times New Roman" w:hAnsi="Times New Roman" w:cs="Times New Roman"/>
          <w:sz w:val="24"/>
          <w:szCs w:val="24"/>
        </w:rPr>
        <w:t>________________________</w:t>
      </w:r>
      <w:proofErr w:type="gramStart"/>
      <w:r>
        <w:rPr>
          <w:rFonts w:ascii="Times New Roman" w:hAnsi="Times New Roman" w:cs="Times New Roman"/>
          <w:sz w:val="24"/>
          <w:szCs w:val="24"/>
        </w:rPr>
        <w:t>_  Degree</w:t>
      </w:r>
      <w:proofErr w:type="gramEnd"/>
      <w:r>
        <w:rPr>
          <w:rFonts w:ascii="Times New Roman" w:hAnsi="Times New Roman" w:cs="Times New Roman"/>
          <w:sz w:val="24"/>
          <w:szCs w:val="24"/>
        </w:rPr>
        <w:t xml:space="preserve"> _</w:t>
      </w:r>
      <w:r w:rsidR="00445C6C">
        <w:rPr>
          <w:rFonts w:ascii="Times New Roman" w:hAnsi="Times New Roman" w:cs="Times New Roman"/>
          <w:sz w:val="24"/>
          <w:szCs w:val="24"/>
        </w:rPr>
        <w:t>MS</w:t>
      </w:r>
      <w:r>
        <w:rPr>
          <w:rFonts w:ascii="Times New Roman" w:hAnsi="Times New Roman" w:cs="Times New Roman"/>
          <w:sz w:val="24"/>
          <w:szCs w:val="24"/>
        </w:rPr>
        <w:t>____</w:t>
      </w:r>
    </w:p>
    <w:p w14:paraId="34C484F5" w14:textId="77777777" w:rsidR="0040569B" w:rsidRDefault="0040569B">
      <w:pPr>
        <w:rPr>
          <w:rFonts w:ascii="Times New Roman" w:hAnsi="Times New Roman" w:cs="Times New Roman"/>
          <w:sz w:val="24"/>
          <w:szCs w:val="24"/>
        </w:rPr>
      </w:pPr>
    </w:p>
    <w:p w14:paraId="722D87C3" w14:textId="321F809F"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w:t>
      </w:r>
      <w:r w:rsidR="00445C6C">
        <w:rPr>
          <w:rFonts w:ascii="Times New Roman" w:hAnsi="Times New Roman" w:cs="Times New Roman"/>
          <w:sz w:val="24"/>
          <w:szCs w:val="24"/>
        </w:rPr>
        <w:t>G. Munoz</w:t>
      </w:r>
      <w:r>
        <w:rPr>
          <w:rFonts w:ascii="Times New Roman" w:hAnsi="Times New Roman" w:cs="Times New Roman"/>
          <w:sz w:val="24"/>
          <w:szCs w:val="24"/>
        </w:rPr>
        <w:t>___________________________________</w:t>
      </w:r>
    </w:p>
    <w:p w14:paraId="57BE3F19" w14:textId="77777777" w:rsidR="00537657" w:rsidRDefault="00537657">
      <w:pPr>
        <w:rPr>
          <w:rFonts w:ascii="Times New Roman" w:hAnsi="Times New Roman" w:cs="Times New Roman"/>
          <w:sz w:val="24"/>
          <w:szCs w:val="24"/>
        </w:rPr>
      </w:pPr>
    </w:p>
    <w:p w14:paraId="38877447" w14:textId="443ED38C"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39466B84" w14:textId="77777777" w:rsidR="001D562D" w:rsidRDefault="001D562D" w:rsidP="001D562D">
      <w:pPr>
        <w:pStyle w:val="ListParagraph"/>
        <w:rPr>
          <w:rFonts w:ascii="Times New Roman" w:hAnsi="Times New Roman" w:cs="Times New Roman"/>
          <w:sz w:val="24"/>
          <w:szCs w:val="24"/>
        </w:rPr>
      </w:pPr>
    </w:p>
    <w:p w14:paraId="7534333D" w14:textId="77777777" w:rsidR="001D562D" w:rsidRPr="001D562D" w:rsidRDefault="001D562D" w:rsidP="001D562D">
      <w:pPr>
        <w:pStyle w:val="ListParagraph"/>
        <w:rPr>
          <w:rFonts w:ascii="Times New Roman" w:hAnsi="Times New Roman" w:cs="Times New Roman"/>
          <w:sz w:val="24"/>
          <w:szCs w:val="24"/>
        </w:rPr>
      </w:pPr>
      <w:r w:rsidRPr="001D562D">
        <w:rPr>
          <w:rFonts w:ascii="Times New Roman" w:hAnsi="Times New Roman" w:cs="Times New Roman"/>
          <w:sz w:val="24"/>
          <w:szCs w:val="24"/>
        </w:rPr>
        <w:t>This assessment report concentrates on Measure A1 of the MS program’s SOAP:</w:t>
      </w:r>
    </w:p>
    <w:p w14:paraId="6E9EA9DD" w14:textId="77777777" w:rsidR="001D562D" w:rsidRPr="001D562D" w:rsidRDefault="001D562D" w:rsidP="001D562D">
      <w:pPr>
        <w:pStyle w:val="ListParagraph"/>
        <w:rPr>
          <w:rFonts w:ascii="Times New Roman" w:hAnsi="Times New Roman" w:cs="Times New Roman"/>
          <w:sz w:val="24"/>
          <w:szCs w:val="24"/>
        </w:rPr>
      </w:pPr>
      <w:r w:rsidRPr="001D562D">
        <w:rPr>
          <w:rFonts w:ascii="Times New Roman" w:hAnsi="Times New Roman" w:cs="Times New Roman"/>
          <w:sz w:val="24"/>
          <w:szCs w:val="24"/>
        </w:rPr>
        <w:t>Physics MS students will take the physics subject GRE and/or the MFT in physics. The MFT will be administered by the department assessment coordinator. The GRE scores and MFT scores will be collected by the department assessment coordinator for analysis. Advancement to candidacy requires GRE scores at or above the 25</w:t>
      </w:r>
      <w:r w:rsidRPr="001D562D">
        <w:rPr>
          <w:rFonts w:ascii="Times New Roman" w:hAnsi="Times New Roman" w:cs="Times New Roman"/>
          <w:sz w:val="24"/>
          <w:szCs w:val="24"/>
          <w:vertAlign w:val="superscript"/>
        </w:rPr>
        <w:t>th</w:t>
      </w:r>
      <w:r w:rsidRPr="001D562D">
        <w:rPr>
          <w:rFonts w:ascii="Times New Roman" w:hAnsi="Times New Roman" w:cs="Times New Roman"/>
          <w:sz w:val="24"/>
          <w:szCs w:val="24"/>
        </w:rPr>
        <w:t xml:space="preserve"> percentile, or MFT scores at or above the median (currently 148 as per ETS web site data).</w:t>
      </w:r>
    </w:p>
    <w:p w14:paraId="71F23DA7" w14:textId="57E7631E" w:rsidR="001D562D" w:rsidRDefault="001D562D" w:rsidP="001D562D">
      <w:pPr>
        <w:pStyle w:val="ListParagraph"/>
        <w:rPr>
          <w:rFonts w:ascii="Times New Roman" w:hAnsi="Times New Roman" w:cs="Times New Roman"/>
          <w:sz w:val="24"/>
          <w:szCs w:val="24"/>
        </w:rPr>
      </w:pPr>
      <w:r w:rsidRPr="001D562D">
        <w:rPr>
          <w:rFonts w:ascii="Times New Roman" w:hAnsi="Times New Roman" w:cs="Times New Roman"/>
          <w:sz w:val="24"/>
          <w:szCs w:val="24"/>
        </w:rPr>
        <w:t>Measure A1 covers Outcomes 1.1, 1.2, and 3.3 of the SOAP.</w:t>
      </w:r>
    </w:p>
    <w:p w14:paraId="5FB7E452" w14:textId="77777777" w:rsidR="00760FF7" w:rsidRPr="00760FF7" w:rsidRDefault="00760FF7" w:rsidP="00760FF7">
      <w:pPr>
        <w:rPr>
          <w:rFonts w:ascii="Times New Roman" w:hAnsi="Times New Roman" w:cs="Times New Roman"/>
          <w:sz w:val="24"/>
          <w:szCs w:val="24"/>
        </w:rPr>
      </w:pPr>
    </w:p>
    <w:p w14:paraId="2CBF1287" w14:textId="5705E713" w:rsid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187E9AD2" w14:textId="4C0638BD" w:rsidR="001D562D" w:rsidRDefault="001D562D" w:rsidP="001D562D">
      <w:pPr>
        <w:pStyle w:val="ListParagraph"/>
        <w:rPr>
          <w:rFonts w:ascii="Times New Roman" w:hAnsi="Times New Roman" w:cs="Times New Roman"/>
          <w:bCs/>
          <w:sz w:val="24"/>
          <w:szCs w:val="24"/>
        </w:rPr>
      </w:pPr>
    </w:p>
    <w:p w14:paraId="73FB548D" w14:textId="23C3D47B" w:rsidR="001D562D" w:rsidRDefault="009E7370" w:rsidP="001D562D">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562D">
        <w:rPr>
          <w:rFonts w:ascii="Times New Roman" w:eastAsia="Times New Roman" w:hAnsi="Times New Roman" w:cs="Times New Roman"/>
          <w:sz w:val="24"/>
          <w:szCs w:val="24"/>
        </w:rPr>
        <w:t xml:space="preserve"> MS Physics students took the Major Field Test (MFT) in Physics during the period ranging from Fall 201</w:t>
      </w:r>
      <w:r>
        <w:rPr>
          <w:rFonts w:ascii="Times New Roman" w:eastAsia="Times New Roman" w:hAnsi="Times New Roman" w:cs="Times New Roman"/>
          <w:sz w:val="24"/>
          <w:szCs w:val="24"/>
        </w:rPr>
        <w:t>9</w:t>
      </w:r>
      <w:r w:rsidR="001D562D">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October 15, 2021</w:t>
      </w:r>
      <w:r w:rsidR="001D562D">
        <w:rPr>
          <w:rFonts w:ascii="Times New Roman" w:eastAsia="Times New Roman" w:hAnsi="Times New Roman" w:cs="Times New Roman"/>
          <w:sz w:val="24"/>
          <w:szCs w:val="24"/>
        </w:rPr>
        <w:t xml:space="preserve">. </w:t>
      </w:r>
      <w:r w:rsidR="00B70748">
        <w:rPr>
          <w:rFonts w:ascii="Times New Roman" w:eastAsia="Times New Roman" w:hAnsi="Times New Roman" w:cs="Times New Roman"/>
          <w:sz w:val="24"/>
          <w:szCs w:val="24"/>
        </w:rPr>
        <w:t>The MFT is designed specifically for the assessment purposes relevant to this report. As</w:t>
      </w:r>
      <w:r w:rsidR="001D562D">
        <w:rPr>
          <w:rFonts w:ascii="Times New Roman" w:eastAsia="Times New Roman" w:hAnsi="Times New Roman" w:cs="Times New Roman"/>
          <w:sz w:val="24"/>
          <w:szCs w:val="24"/>
        </w:rPr>
        <w:t xml:space="preserve"> the ETS web site</w:t>
      </w:r>
      <w:r w:rsidR="00B70748">
        <w:rPr>
          <w:rFonts w:ascii="Times New Roman" w:eastAsia="Times New Roman" w:hAnsi="Times New Roman" w:cs="Times New Roman"/>
          <w:sz w:val="24"/>
          <w:szCs w:val="24"/>
        </w:rPr>
        <w:t xml:space="preserve"> states</w:t>
      </w:r>
      <w:r w:rsidR="001D562D">
        <w:rPr>
          <w:rFonts w:ascii="Times New Roman" w:eastAsia="Times New Roman" w:hAnsi="Times New Roman" w:cs="Times New Roman"/>
          <w:sz w:val="24"/>
          <w:szCs w:val="24"/>
        </w:rPr>
        <w:t xml:space="preserve">, </w:t>
      </w:r>
    </w:p>
    <w:p w14:paraId="0BE789DB" w14:textId="77777777" w:rsidR="001D562D" w:rsidRPr="00123DF1" w:rsidRDefault="001D562D" w:rsidP="001D562D">
      <w:pPr>
        <w:pStyle w:val="NoSpacing"/>
        <w:ind w:left="720"/>
        <w:rPr>
          <w:rFonts w:ascii="Times New Roman" w:eastAsia="Times New Roman" w:hAnsi="Times New Roman" w:cs="Times New Roman"/>
          <w:i/>
          <w:iCs/>
          <w:sz w:val="24"/>
          <w:szCs w:val="24"/>
        </w:rPr>
      </w:pPr>
      <w:r w:rsidRPr="00A45113">
        <w:rPr>
          <w:rFonts w:ascii="Times New Roman" w:eastAsia="Times New Roman" w:hAnsi="Times New Roman" w:cs="Times New Roman"/>
          <w:i/>
          <w:iCs/>
          <w:sz w:val="24"/>
          <w:szCs w:val="24"/>
        </w:rPr>
        <w:t>“</w:t>
      </w:r>
      <w:r w:rsidRPr="00123DF1">
        <w:rPr>
          <w:rFonts w:ascii="Times New Roman" w:eastAsia="Times New Roman" w:hAnsi="Times New Roman" w:cs="Times New Roman"/>
          <w:i/>
          <w:iCs/>
          <w:sz w:val="24"/>
          <w:szCs w:val="24"/>
        </w:rPr>
        <w:t>The ETS</w:t>
      </w:r>
      <w:r w:rsidRPr="00123DF1">
        <w:rPr>
          <w:rFonts w:ascii="Times New Roman" w:eastAsia="Times New Roman" w:hAnsi="Times New Roman" w:cs="Times New Roman"/>
          <w:i/>
          <w:iCs/>
          <w:sz w:val="24"/>
          <w:szCs w:val="24"/>
          <w:vertAlign w:val="superscript"/>
        </w:rPr>
        <w:t>®</w:t>
      </w:r>
      <w:r w:rsidRPr="00123DF1">
        <w:rPr>
          <w:rFonts w:ascii="Times New Roman" w:eastAsia="Times New Roman" w:hAnsi="Times New Roman" w:cs="Times New Roman"/>
          <w:i/>
          <w:iCs/>
          <w:sz w:val="24"/>
          <w:szCs w:val="24"/>
        </w:rPr>
        <w:t> Major Field Tests were designed to assist higher education institutions and academic programs in assessing student knowledge within the academic major. Each Major Field Test:</w:t>
      </w:r>
    </w:p>
    <w:p w14:paraId="4CA047F0" w14:textId="77777777" w:rsidR="001D562D" w:rsidRPr="00123DF1" w:rsidRDefault="001D562D" w:rsidP="001D562D">
      <w:pPr>
        <w:pStyle w:val="NoSpacing"/>
        <w:numPr>
          <w:ilvl w:val="0"/>
          <w:numId w:val="2"/>
        </w:numPr>
        <w:tabs>
          <w:tab w:val="left" w:pos="1080"/>
        </w:tabs>
        <w:ind w:firstLine="0"/>
        <w:rPr>
          <w:rFonts w:ascii="Times New Roman" w:eastAsia="Times New Roman" w:hAnsi="Times New Roman" w:cs="Times New Roman"/>
          <w:i/>
          <w:iCs/>
          <w:sz w:val="24"/>
          <w:szCs w:val="24"/>
        </w:rPr>
      </w:pPr>
      <w:r w:rsidRPr="00123DF1">
        <w:rPr>
          <w:rFonts w:ascii="Times New Roman" w:eastAsia="Times New Roman" w:hAnsi="Times New Roman" w:cs="Times New Roman"/>
          <w:i/>
          <w:iCs/>
          <w:sz w:val="24"/>
          <w:szCs w:val="24"/>
        </w:rPr>
        <w:t>is a comprehensive outcomes assessment designed to measure the critical knowledge and skills commonly obtained by college students in their major program of study</w:t>
      </w:r>
    </w:p>
    <w:p w14:paraId="3BF49090" w14:textId="77777777" w:rsidR="001D562D" w:rsidRPr="00123DF1" w:rsidRDefault="001D562D" w:rsidP="001D562D">
      <w:pPr>
        <w:pStyle w:val="NoSpacing"/>
        <w:numPr>
          <w:ilvl w:val="0"/>
          <w:numId w:val="2"/>
        </w:numPr>
        <w:tabs>
          <w:tab w:val="left" w:pos="1080"/>
        </w:tabs>
        <w:ind w:firstLine="0"/>
        <w:rPr>
          <w:rFonts w:ascii="Times New Roman" w:eastAsia="Times New Roman" w:hAnsi="Times New Roman" w:cs="Times New Roman"/>
          <w:i/>
          <w:iCs/>
          <w:sz w:val="24"/>
          <w:szCs w:val="24"/>
        </w:rPr>
      </w:pPr>
      <w:r w:rsidRPr="00123DF1">
        <w:rPr>
          <w:rFonts w:ascii="Times New Roman" w:eastAsia="Times New Roman" w:hAnsi="Times New Roman" w:cs="Times New Roman"/>
          <w:i/>
          <w:iCs/>
          <w:sz w:val="24"/>
          <w:szCs w:val="24"/>
        </w:rPr>
        <w:lastRenderedPageBreak/>
        <w:t xml:space="preserve">evaluates students’ ability to analyze and solve problems, understand </w:t>
      </w:r>
      <w:proofErr w:type="gramStart"/>
      <w:r w:rsidRPr="00123DF1">
        <w:rPr>
          <w:rFonts w:ascii="Times New Roman" w:eastAsia="Times New Roman" w:hAnsi="Times New Roman" w:cs="Times New Roman"/>
          <w:i/>
          <w:iCs/>
          <w:sz w:val="24"/>
          <w:szCs w:val="24"/>
        </w:rPr>
        <w:t>relationships</w:t>
      </w:r>
      <w:proofErr w:type="gramEnd"/>
      <w:r w:rsidRPr="00123DF1">
        <w:rPr>
          <w:rFonts w:ascii="Times New Roman" w:eastAsia="Times New Roman" w:hAnsi="Times New Roman" w:cs="Times New Roman"/>
          <w:i/>
          <w:iCs/>
          <w:sz w:val="24"/>
          <w:szCs w:val="24"/>
        </w:rPr>
        <w:t xml:space="preserve"> and interpret material</w:t>
      </w:r>
    </w:p>
    <w:p w14:paraId="305ABE01" w14:textId="77777777" w:rsidR="001D562D" w:rsidRDefault="001D562D" w:rsidP="001D562D">
      <w:pPr>
        <w:pStyle w:val="NoSpacing"/>
        <w:ind w:left="720"/>
        <w:rPr>
          <w:rFonts w:ascii="Times New Roman" w:eastAsia="Times New Roman" w:hAnsi="Times New Roman" w:cs="Times New Roman"/>
          <w:sz w:val="24"/>
          <w:szCs w:val="24"/>
        </w:rPr>
      </w:pPr>
      <w:r w:rsidRPr="00123DF1">
        <w:rPr>
          <w:rFonts w:ascii="Times New Roman" w:eastAsia="Times New Roman" w:hAnsi="Times New Roman" w:cs="Times New Roman"/>
          <w:i/>
          <w:iCs/>
          <w:sz w:val="24"/>
          <w:szCs w:val="24"/>
        </w:rPr>
        <w:t>Test results provide information on how students perform in relation to other students in their program and at comparable programs nationwide.</w:t>
      </w:r>
      <w:r w:rsidRPr="00A45113">
        <w:rPr>
          <w:rFonts w:ascii="Times New Roman" w:eastAsia="Times New Roman" w:hAnsi="Times New Roman" w:cs="Times New Roman"/>
          <w:i/>
          <w:iCs/>
          <w:sz w:val="24"/>
          <w:szCs w:val="24"/>
        </w:rPr>
        <w:t>”</w:t>
      </w:r>
    </w:p>
    <w:p w14:paraId="260C45AF" w14:textId="77777777" w:rsidR="00760FF7" w:rsidRDefault="00760FF7" w:rsidP="00760FF7">
      <w:pPr>
        <w:rPr>
          <w:rFonts w:ascii="Times New Roman" w:hAnsi="Times New Roman" w:cs="Times New Roman"/>
          <w:sz w:val="24"/>
          <w:szCs w:val="24"/>
        </w:rPr>
      </w:pPr>
    </w:p>
    <w:p w14:paraId="2EB0E84F" w14:textId="2E3A9521" w:rsidR="00E56C83" w:rsidRPr="003339CE" w:rsidRDefault="0074718C" w:rsidP="003339CE">
      <w:pPr>
        <w:pStyle w:val="ListParagraph"/>
        <w:numPr>
          <w:ilvl w:val="0"/>
          <w:numId w:val="1"/>
        </w:numPr>
        <w:spacing w:after="200"/>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w:t>
      </w:r>
      <w:proofErr w:type="gramStart"/>
      <w:r w:rsidR="00AE0D66">
        <w:rPr>
          <w:rFonts w:ascii="Times New Roman" w:hAnsi="Times New Roman" w:cs="Times New Roman"/>
          <w:sz w:val="24"/>
          <w:szCs w:val="24"/>
        </w:rPr>
        <w:t>e.g.</w:t>
      </w:r>
      <w:proofErr w:type="gramEnd"/>
      <w:r w:rsidR="00AE0D66">
        <w:rPr>
          <w:rFonts w:ascii="Times New Roman" w:hAnsi="Times New Roman" w:cs="Times New Roman"/>
          <w:sz w:val="24"/>
          <w:szCs w:val="24"/>
        </w:rPr>
        <w:t xml:space="preserve"> 80% of students will be designated as proficient or higher) and indicate the number of students who met that benchmark.</w:t>
      </w:r>
    </w:p>
    <w:tbl>
      <w:tblPr>
        <w:tblW w:w="5500" w:type="dxa"/>
        <w:jc w:val="center"/>
        <w:tblLook w:val="04A0" w:firstRow="1" w:lastRow="0" w:firstColumn="1" w:lastColumn="0" w:noHBand="0" w:noVBand="1"/>
      </w:tblPr>
      <w:tblGrid>
        <w:gridCol w:w="1100"/>
        <w:gridCol w:w="1100"/>
        <w:gridCol w:w="1100"/>
        <w:gridCol w:w="1100"/>
        <w:gridCol w:w="1100"/>
      </w:tblGrid>
      <w:tr w:rsidR="009E7370" w:rsidRPr="009E7370" w14:paraId="13F02C9D" w14:textId="77777777" w:rsidTr="009E7370">
        <w:trPr>
          <w:trHeight w:val="255"/>
          <w:jc w:val="center"/>
        </w:trPr>
        <w:tc>
          <w:tcPr>
            <w:tcW w:w="1100" w:type="dxa"/>
            <w:tcBorders>
              <w:top w:val="nil"/>
              <w:left w:val="nil"/>
              <w:bottom w:val="nil"/>
              <w:right w:val="nil"/>
            </w:tcBorders>
            <w:shd w:val="clear" w:color="auto" w:fill="auto"/>
            <w:noWrap/>
            <w:vAlign w:val="bottom"/>
            <w:hideMark/>
          </w:tcPr>
          <w:p w14:paraId="3078E147" w14:textId="77777777" w:rsidR="009E7370" w:rsidRPr="009E7370" w:rsidRDefault="009E7370" w:rsidP="009E7370">
            <w:pPr>
              <w:spacing w:after="0" w:line="240" w:lineRule="auto"/>
              <w:rPr>
                <w:rFonts w:ascii="Times New Roman" w:eastAsia="Times New Roman" w:hAnsi="Times New Roman" w:cs="Times New Roman"/>
                <w:sz w:val="24"/>
                <w:szCs w:val="24"/>
              </w:rPr>
            </w:pPr>
          </w:p>
        </w:tc>
        <w:tc>
          <w:tcPr>
            <w:tcW w:w="1100" w:type="dxa"/>
            <w:tcBorders>
              <w:top w:val="double" w:sz="6" w:space="0" w:color="auto"/>
              <w:left w:val="double" w:sz="6" w:space="0" w:color="auto"/>
              <w:bottom w:val="nil"/>
              <w:right w:val="single" w:sz="8" w:space="0" w:color="auto"/>
            </w:tcBorders>
            <w:shd w:val="clear" w:color="auto" w:fill="auto"/>
            <w:noWrap/>
            <w:vAlign w:val="bottom"/>
            <w:hideMark/>
          </w:tcPr>
          <w:p w14:paraId="28671B17"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Score</w:t>
            </w:r>
          </w:p>
        </w:tc>
        <w:tc>
          <w:tcPr>
            <w:tcW w:w="1100" w:type="dxa"/>
            <w:tcBorders>
              <w:top w:val="double" w:sz="6" w:space="0" w:color="auto"/>
              <w:left w:val="nil"/>
              <w:bottom w:val="nil"/>
              <w:right w:val="single" w:sz="8" w:space="0" w:color="auto"/>
            </w:tcBorders>
            <w:shd w:val="clear" w:color="auto" w:fill="auto"/>
            <w:noWrap/>
            <w:vAlign w:val="bottom"/>
            <w:hideMark/>
          </w:tcPr>
          <w:p w14:paraId="168700F9"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Percentile</w:t>
            </w:r>
          </w:p>
        </w:tc>
        <w:tc>
          <w:tcPr>
            <w:tcW w:w="1100" w:type="dxa"/>
            <w:tcBorders>
              <w:top w:val="double" w:sz="6" w:space="0" w:color="auto"/>
              <w:left w:val="nil"/>
              <w:bottom w:val="nil"/>
              <w:right w:val="double" w:sz="6" w:space="0" w:color="auto"/>
            </w:tcBorders>
            <w:shd w:val="clear" w:color="auto" w:fill="auto"/>
            <w:noWrap/>
            <w:vAlign w:val="bottom"/>
            <w:hideMark/>
          </w:tcPr>
          <w:p w14:paraId="543D0C19"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Date</w:t>
            </w:r>
          </w:p>
        </w:tc>
        <w:tc>
          <w:tcPr>
            <w:tcW w:w="1100" w:type="dxa"/>
            <w:tcBorders>
              <w:top w:val="double" w:sz="6" w:space="0" w:color="auto"/>
              <w:left w:val="single" w:sz="8" w:space="0" w:color="auto"/>
              <w:bottom w:val="nil"/>
              <w:right w:val="double" w:sz="6" w:space="0" w:color="auto"/>
            </w:tcBorders>
            <w:shd w:val="clear" w:color="auto" w:fill="auto"/>
            <w:noWrap/>
            <w:vAlign w:val="bottom"/>
            <w:hideMark/>
          </w:tcPr>
          <w:p w14:paraId="45060B66"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GPA</w:t>
            </w:r>
          </w:p>
        </w:tc>
      </w:tr>
      <w:tr w:rsidR="009E7370" w:rsidRPr="009E7370" w14:paraId="1260BDB3" w14:textId="77777777" w:rsidTr="009E7370">
        <w:trPr>
          <w:trHeight w:val="255"/>
          <w:jc w:val="center"/>
        </w:trPr>
        <w:tc>
          <w:tcPr>
            <w:tcW w:w="1100" w:type="dxa"/>
            <w:tcBorders>
              <w:top w:val="double" w:sz="6" w:space="0" w:color="auto"/>
              <w:left w:val="single" w:sz="8" w:space="0" w:color="auto"/>
              <w:bottom w:val="dotted" w:sz="4" w:space="0" w:color="auto"/>
              <w:right w:val="dotted" w:sz="4" w:space="0" w:color="auto"/>
            </w:tcBorders>
            <w:shd w:val="clear" w:color="auto" w:fill="auto"/>
            <w:noWrap/>
            <w:vAlign w:val="bottom"/>
            <w:hideMark/>
          </w:tcPr>
          <w:p w14:paraId="7FEC2D5E"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1</w:t>
            </w:r>
          </w:p>
        </w:tc>
        <w:tc>
          <w:tcPr>
            <w:tcW w:w="1100" w:type="dxa"/>
            <w:tcBorders>
              <w:top w:val="double" w:sz="6" w:space="0" w:color="auto"/>
              <w:left w:val="nil"/>
              <w:bottom w:val="dotted" w:sz="4" w:space="0" w:color="auto"/>
              <w:right w:val="dotted" w:sz="4" w:space="0" w:color="auto"/>
            </w:tcBorders>
            <w:shd w:val="clear" w:color="auto" w:fill="auto"/>
            <w:noWrap/>
            <w:vAlign w:val="bottom"/>
            <w:hideMark/>
          </w:tcPr>
          <w:p w14:paraId="2295610B"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152</w:t>
            </w:r>
          </w:p>
        </w:tc>
        <w:tc>
          <w:tcPr>
            <w:tcW w:w="1100" w:type="dxa"/>
            <w:tcBorders>
              <w:top w:val="double" w:sz="6" w:space="0" w:color="auto"/>
              <w:left w:val="nil"/>
              <w:bottom w:val="dotted" w:sz="4" w:space="0" w:color="auto"/>
              <w:right w:val="dotted" w:sz="4" w:space="0" w:color="auto"/>
            </w:tcBorders>
            <w:shd w:val="clear" w:color="auto" w:fill="auto"/>
            <w:noWrap/>
            <w:vAlign w:val="bottom"/>
            <w:hideMark/>
          </w:tcPr>
          <w:p w14:paraId="57B89A11"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58</w:t>
            </w:r>
          </w:p>
        </w:tc>
        <w:tc>
          <w:tcPr>
            <w:tcW w:w="1100" w:type="dxa"/>
            <w:tcBorders>
              <w:top w:val="double" w:sz="6" w:space="0" w:color="auto"/>
              <w:left w:val="nil"/>
              <w:bottom w:val="dotted" w:sz="4" w:space="0" w:color="auto"/>
              <w:right w:val="dotted" w:sz="4" w:space="0" w:color="auto"/>
            </w:tcBorders>
            <w:shd w:val="clear" w:color="auto" w:fill="auto"/>
            <w:noWrap/>
            <w:vAlign w:val="bottom"/>
            <w:hideMark/>
          </w:tcPr>
          <w:p w14:paraId="5FFB6B6B"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10/18/19</w:t>
            </w:r>
          </w:p>
        </w:tc>
        <w:tc>
          <w:tcPr>
            <w:tcW w:w="1100" w:type="dxa"/>
            <w:tcBorders>
              <w:top w:val="double" w:sz="6" w:space="0" w:color="auto"/>
              <w:left w:val="nil"/>
              <w:bottom w:val="dotted" w:sz="4" w:space="0" w:color="auto"/>
              <w:right w:val="single" w:sz="8" w:space="0" w:color="auto"/>
            </w:tcBorders>
            <w:shd w:val="clear" w:color="auto" w:fill="auto"/>
            <w:noWrap/>
            <w:vAlign w:val="bottom"/>
            <w:hideMark/>
          </w:tcPr>
          <w:p w14:paraId="4B54E1A1"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3.55</w:t>
            </w:r>
          </w:p>
        </w:tc>
      </w:tr>
      <w:tr w:rsidR="009E7370" w:rsidRPr="009E7370" w14:paraId="18C0FC95"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245A3832"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2</w:t>
            </w:r>
          </w:p>
        </w:tc>
        <w:tc>
          <w:tcPr>
            <w:tcW w:w="1100" w:type="dxa"/>
            <w:tcBorders>
              <w:top w:val="nil"/>
              <w:left w:val="nil"/>
              <w:bottom w:val="dotted" w:sz="4" w:space="0" w:color="auto"/>
              <w:right w:val="dotted" w:sz="4" w:space="0" w:color="auto"/>
            </w:tcBorders>
            <w:shd w:val="clear" w:color="auto" w:fill="auto"/>
            <w:noWrap/>
            <w:vAlign w:val="bottom"/>
            <w:hideMark/>
          </w:tcPr>
          <w:p w14:paraId="342AAA89"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162</w:t>
            </w:r>
          </w:p>
        </w:tc>
        <w:tc>
          <w:tcPr>
            <w:tcW w:w="1100" w:type="dxa"/>
            <w:tcBorders>
              <w:top w:val="nil"/>
              <w:left w:val="nil"/>
              <w:bottom w:val="dotted" w:sz="4" w:space="0" w:color="auto"/>
              <w:right w:val="dotted" w:sz="4" w:space="0" w:color="auto"/>
            </w:tcBorders>
            <w:shd w:val="clear" w:color="auto" w:fill="auto"/>
            <w:noWrap/>
            <w:vAlign w:val="bottom"/>
            <w:hideMark/>
          </w:tcPr>
          <w:p w14:paraId="63DD1179"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78</w:t>
            </w:r>
          </w:p>
        </w:tc>
        <w:tc>
          <w:tcPr>
            <w:tcW w:w="1100" w:type="dxa"/>
            <w:tcBorders>
              <w:top w:val="nil"/>
              <w:left w:val="nil"/>
              <w:bottom w:val="dotted" w:sz="4" w:space="0" w:color="auto"/>
              <w:right w:val="dotted" w:sz="4" w:space="0" w:color="auto"/>
            </w:tcBorders>
            <w:shd w:val="clear" w:color="auto" w:fill="auto"/>
            <w:noWrap/>
            <w:vAlign w:val="bottom"/>
            <w:hideMark/>
          </w:tcPr>
          <w:p w14:paraId="32F448A4"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11/25/20</w:t>
            </w:r>
          </w:p>
        </w:tc>
        <w:tc>
          <w:tcPr>
            <w:tcW w:w="1100" w:type="dxa"/>
            <w:tcBorders>
              <w:top w:val="nil"/>
              <w:left w:val="nil"/>
              <w:bottom w:val="dotted" w:sz="4" w:space="0" w:color="auto"/>
              <w:right w:val="single" w:sz="8" w:space="0" w:color="auto"/>
            </w:tcBorders>
            <w:shd w:val="clear" w:color="auto" w:fill="auto"/>
            <w:noWrap/>
            <w:vAlign w:val="bottom"/>
            <w:hideMark/>
          </w:tcPr>
          <w:p w14:paraId="609394D1"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3.67</w:t>
            </w:r>
          </w:p>
        </w:tc>
      </w:tr>
      <w:tr w:rsidR="009E7370" w:rsidRPr="009E7370" w14:paraId="512A0CCC"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3EA68DC3"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3</w:t>
            </w:r>
          </w:p>
        </w:tc>
        <w:tc>
          <w:tcPr>
            <w:tcW w:w="1100" w:type="dxa"/>
            <w:tcBorders>
              <w:top w:val="nil"/>
              <w:left w:val="nil"/>
              <w:bottom w:val="dotted" w:sz="4" w:space="0" w:color="auto"/>
              <w:right w:val="dotted" w:sz="4" w:space="0" w:color="auto"/>
            </w:tcBorders>
            <w:shd w:val="clear" w:color="auto" w:fill="auto"/>
            <w:noWrap/>
            <w:vAlign w:val="bottom"/>
            <w:hideMark/>
          </w:tcPr>
          <w:p w14:paraId="16993D12"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146</w:t>
            </w:r>
          </w:p>
        </w:tc>
        <w:tc>
          <w:tcPr>
            <w:tcW w:w="1100" w:type="dxa"/>
            <w:tcBorders>
              <w:top w:val="nil"/>
              <w:left w:val="nil"/>
              <w:bottom w:val="dotted" w:sz="4" w:space="0" w:color="auto"/>
              <w:right w:val="dotted" w:sz="4" w:space="0" w:color="auto"/>
            </w:tcBorders>
            <w:shd w:val="clear" w:color="auto" w:fill="auto"/>
            <w:noWrap/>
            <w:vAlign w:val="bottom"/>
            <w:hideMark/>
          </w:tcPr>
          <w:p w14:paraId="0FC89D1B"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42</w:t>
            </w:r>
          </w:p>
        </w:tc>
        <w:tc>
          <w:tcPr>
            <w:tcW w:w="1100" w:type="dxa"/>
            <w:tcBorders>
              <w:top w:val="nil"/>
              <w:left w:val="nil"/>
              <w:bottom w:val="dotted" w:sz="4" w:space="0" w:color="auto"/>
              <w:right w:val="dotted" w:sz="4" w:space="0" w:color="auto"/>
            </w:tcBorders>
            <w:shd w:val="clear" w:color="auto" w:fill="auto"/>
            <w:noWrap/>
            <w:vAlign w:val="bottom"/>
            <w:hideMark/>
          </w:tcPr>
          <w:p w14:paraId="1E3FC5D0"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11/25/20</w:t>
            </w:r>
          </w:p>
        </w:tc>
        <w:tc>
          <w:tcPr>
            <w:tcW w:w="1100" w:type="dxa"/>
            <w:tcBorders>
              <w:top w:val="nil"/>
              <w:left w:val="nil"/>
              <w:bottom w:val="dotted" w:sz="4" w:space="0" w:color="auto"/>
              <w:right w:val="single" w:sz="8" w:space="0" w:color="auto"/>
            </w:tcBorders>
            <w:shd w:val="clear" w:color="auto" w:fill="auto"/>
            <w:noWrap/>
            <w:vAlign w:val="bottom"/>
            <w:hideMark/>
          </w:tcPr>
          <w:p w14:paraId="0F948E76"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3.42</w:t>
            </w:r>
          </w:p>
        </w:tc>
      </w:tr>
      <w:tr w:rsidR="009E7370" w:rsidRPr="009E7370" w14:paraId="198CB302"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5539D655"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4</w:t>
            </w:r>
          </w:p>
        </w:tc>
        <w:tc>
          <w:tcPr>
            <w:tcW w:w="1100" w:type="dxa"/>
            <w:tcBorders>
              <w:top w:val="nil"/>
              <w:left w:val="nil"/>
              <w:bottom w:val="dotted" w:sz="4" w:space="0" w:color="auto"/>
              <w:right w:val="dotted" w:sz="4" w:space="0" w:color="auto"/>
            </w:tcBorders>
            <w:shd w:val="clear" w:color="auto" w:fill="auto"/>
            <w:noWrap/>
            <w:vAlign w:val="bottom"/>
            <w:hideMark/>
          </w:tcPr>
          <w:p w14:paraId="26E06E1F"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162</w:t>
            </w:r>
          </w:p>
        </w:tc>
        <w:tc>
          <w:tcPr>
            <w:tcW w:w="1100" w:type="dxa"/>
            <w:tcBorders>
              <w:top w:val="nil"/>
              <w:left w:val="nil"/>
              <w:bottom w:val="dotted" w:sz="4" w:space="0" w:color="auto"/>
              <w:right w:val="dotted" w:sz="4" w:space="0" w:color="auto"/>
            </w:tcBorders>
            <w:shd w:val="clear" w:color="auto" w:fill="auto"/>
            <w:noWrap/>
            <w:vAlign w:val="bottom"/>
            <w:hideMark/>
          </w:tcPr>
          <w:p w14:paraId="0AED5CAD"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78</w:t>
            </w:r>
          </w:p>
        </w:tc>
        <w:tc>
          <w:tcPr>
            <w:tcW w:w="1100" w:type="dxa"/>
            <w:tcBorders>
              <w:top w:val="nil"/>
              <w:left w:val="nil"/>
              <w:bottom w:val="dotted" w:sz="4" w:space="0" w:color="auto"/>
              <w:right w:val="dotted" w:sz="4" w:space="0" w:color="auto"/>
            </w:tcBorders>
            <w:shd w:val="clear" w:color="auto" w:fill="auto"/>
            <w:noWrap/>
            <w:vAlign w:val="bottom"/>
            <w:hideMark/>
          </w:tcPr>
          <w:p w14:paraId="4F092247"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11/25/20</w:t>
            </w:r>
          </w:p>
        </w:tc>
        <w:tc>
          <w:tcPr>
            <w:tcW w:w="1100" w:type="dxa"/>
            <w:tcBorders>
              <w:top w:val="nil"/>
              <w:left w:val="nil"/>
              <w:bottom w:val="dotted" w:sz="4" w:space="0" w:color="auto"/>
              <w:right w:val="single" w:sz="8" w:space="0" w:color="auto"/>
            </w:tcBorders>
            <w:shd w:val="clear" w:color="auto" w:fill="auto"/>
            <w:noWrap/>
            <w:vAlign w:val="bottom"/>
            <w:hideMark/>
          </w:tcPr>
          <w:p w14:paraId="2C74D7EF"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4.00</w:t>
            </w:r>
          </w:p>
        </w:tc>
      </w:tr>
      <w:tr w:rsidR="009E7370" w:rsidRPr="009E7370" w14:paraId="7D554F20"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45BC1CA2"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5</w:t>
            </w:r>
          </w:p>
        </w:tc>
        <w:tc>
          <w:tcPr>
            <w:tcW w:w="1100" w:type="dxa"/>
            <w:tcBorders>
              <w:top w:val="nil"/>
              <w:left w:val="nil"/>
              <w:bottom w:val="dotted" w:sz="4" w:space="0" w:color="auto"/>
              <w:right w:val="dotted" w:sz="4" w:space="0" w:color="auto"/>
            </w:tcBorders>
            <w:shd w:val="clear" w:color="auto" w:fill="auto"/>
            <w:noWrap/>
            <w:vAlign w:val="bottom"/>
            <w:hideMark/>
          </w:tcPr>
          <w:p w14:paraId="5CA34293"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128</w:t>
            </w:r>
          </w:p>
        </w:tc>
        <w:tc>
          <w:tcPr>
            <w:tcW w:w="1100" w:type="dxa"/>
            <w:tcBorders>
              <w:top w:val="nil"/>
              <w:left w:val="nil"/>
              <w:bottom w:val="dotted" w:sz="4" w:space="0" w:color="auto"/>
              <w:right w:val="dotted" w:sz="4" w:space="0" w:color="auto"/>
            </w:tcBorders>
            <w:shd w:val="clear" w:color="auto" w:fill="auto"/>
            <w:noWrap/>
            <w:vAlign w:val="bottom"/>
            <w:hideMark/>
          </w:tcPr>
          <w:p w14:paraId="7E3DE56E"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4</w:t>
            </w:r>
          </w:p>
        </w:tc>
        <w:tc>
          <w:tcPr>
            <w:tcW w:w="1100" w:type="dxa"/>
            <w:tcBorders>
              <w:top w:val="nil"/>
              <w:left w:val="nil"/>
              <w:bottom w:val="dotted" w:sz="4" w:space="0" w:color="auto"/>
              <w:right w:val="dotted" w:sz="4" w:space="0" w:color="auto"/>
            </w:tcBorders>
            <w:shd w:val="clear" w:color="auto" w:fill="auto"/>
            <w:noWrap/>
            <w:vAlign w:val="bottom"/>
            <w:hideMark/>
          </w:tcPr>
          <w:p w14:paraId="2797999C"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11/25/20</w:t>
            </w:r>
          </w:p>
        </w:tc>
        <w:tc>
          <w:tcPr>
            <w:tcW w:w="1100" w:type="dxa"/>
            <w:tcBorders>
              <w:top w:val="nil"/>
              <w:left w:val="nil"/>
              <w:bottom w:val="dotted" w:sz="4" w:space="0" w:color="auto"/>
              <w:right w:val="single" w:sz="8" w:space="0" w:color="auto"/>
            </w:tcBorders>
            <w:shd w:val="clear" w:color="auto" w:fill="auto"/>
            <w:noWrap/>
            <w:vAlign w:val="bottom"/>
            <w:hideMark/>
          </w:tcPr>
          <w:p w14:paraId="7DECB7D5"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3.20</w:t>
            </w:r>
          </w:p>
        </w:tc>
      </w:tr>
      <w:tr w:rsidR="009E7370" w:rsidRPr="009E7370" w14:paraId="6EFA89A1"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4CC97C6E"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6</w:t>
            </w:r>
          </w:p>
        </w:tc>
        <w:tc>
          <w:tcPr>
            <w:tcW w:w="1100" w:type="dxa"/>
            <w:tcBorders>
              <w:top w:val="nil"/>
              <w:left w:val="nil"/>
              <w:bottom w:val="dotted" w:sz="4" w:space="0" w:color="auto"/>
              <w:right w:val="dotted" w:sz="4" w:space="0" w:color="auto"/>
            </w:tcBorders>
            <w:shd w:val="clear" w:color="auto" w:fill="auto"/>
            <w:noWrap/>
            <w:vAlign w:val="bottom"/>
            <w:hideMark/>
          </w:tcPr>
          <w:p w14:paraId="68B760E6"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159</w:t>
            </w:r>
          </w:p>
        </w:tc>
        <w:tc>
          <w:tcPr>
            <w:tcW w:w="1100" w:type="dxa"/>
            <w:tcBorders>
              <w:top w:val="nil"/>
              <w:left w:val="nil"/>
              <w:bottom w:val="dotted" w:sz="4" w:space="0" w:color="auto"/>
              <w:right w:val="dotted" w:sz="4" w:space="0" w:color="auto"/>
            </w:tcBorders>
            <w:shd w:val="clear" w:color="auto" w:fill="auto"/>
            <w:noWrap/>
            <w:vAlign w:val="bottom"/>
            <w:hideMark/>
          </w:tcPr>
          <w:p w14:paraId="5E0D48B2"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73</w:t>
            </w:r>
          </w:p>
        </w:tc>
        <w:tc>
          <w:tcPr>
            <w:tcW w:w="1100" w:type="dxa"/>
            <w:tcBorders>
              <w:top w:val="nil"/>
              <w:left w:val="nil"/>
              <w:bottom w:val="dotted" w:sz="4" w:space="0" w:color="auto"/>
              <w:right w:val="dotted" w:sz="4" w:space="0" w:color="auto"/>
            </w:tcBorders>
            <w:shd w:val="clear" w:color="auto" w:fill="auto"/>
            <w:noWrap/>
            <w:vAlign w:val="bottom"/>
            <w:hideMark/>
          </w:tcPr>
          <w:p w14:paraId="3EAAB925"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11/25/20</w:t>
            </w:r>
          </w:p>
        </w:tc>
        <w:tc>
          <w:tcPr>
            <w:tcW w:w="1100" w:type="dxa"/>
            <w:tcBorders>
              <w:top w:val="nil"/>
              <w:left w:val="nil"/>
              <w:bottom w:val="dotted" w:sz="4" w:space="0" w:color="auto"/>
              <w:right w:val="single" w:sz="8" w:space="0" w:color="auto"/>
            </w:tcBorders>
            <w:shd w:val="clear" w:color="auto" w:fill="auto"/>
            <w:noWrap/>
            <w:vAlign w:val="bottom"/>
            <w:hideMark/>
          </w:tcPr>
          <w:p w14:paraId="368D8A2C"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3.67</w:t>
            </w:r>
          </w:p>
        </w:tc>
      </w:tr>
      <w:tr w:rsidR="009E7370" w:rsidRPr="009E7370" w14:paraId="35418195"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1C7EE8EA"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7</w:t>
            </w:r>
          </w:p>
        </w:tc>
        <w:tc>
          <w:tcPr>
            <w:tcW w:w="1100" w:type="dxa"/>
            <w:tcBorders>
              <w:top w:val="nil"/>
              <w:left w:val="nil"/>
              <w:bottom w:val="dotted" w:sz="4" w:space="0" w:color="auto"/>
              <w:right w:val="dotted" w:sz="4" w:space="0" w:color="auto"/>
            </w:tcBorders>
            <w:shd w:val="clear" w:color="auto" w:fill="auto"/>
            <w:noWrap/>
            <w:vAlign w:val="bottom"/>
            <w:hideMark/>
          </w:tcPr>
          <w:p w14:paraId="4BBA2390"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134</w:t>
            </w:r>
          </w:p>
        </w:tc>
        <w:tc>
          <w:tcPr>
            <w:tcW w:w="1100" w:type="dxa"/>
            <w:tcBorders>
              <w:top w:val="nil"/>
              <w:left w:val="nil"/>
              <w:bottom w:val="dotted" w:sz="4" w:space="0" w:color="auto"/>
              <w:right w:val="dotted" w:sz="4" w:space="0" w:color="auto"/>
            </w:tcBorders>
            <w:shd w:val="clear" w:color="auto" w:fill="auto"/>
            <w:noWrap/>
            <w:vAlign w:val="bottom"/>
            <w:hideMark/>
          </w:tcPr>
          <w:p w14:paraId="3EF31AE3"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14</w:t>
            </w:r>
          </w:p>
        </w:tc>
        <w:tc>
          <w:tcPr>
            <w:tcW w:w="1100" w:type="dxa"/>
            <w:tcBorders>
              <w:top w:val="nil"/>
              <w:left w:val="nil"/>
              <w:bottom w:val="dotted" w:sz="4" w:space="0" w:color="auto"/>
              <w:right w:val="dotted" w:sz="4" w:space="0" w:color="auto"/>
            </w:tcBorders>
            <w:shd w:val="clear" w:color="auto" w:fill="auto"/>
            <w:noWrap/>
            <w:vAlign w:val="bottom"/>
            <w:hideMark/>
          </w:tcPr>
          <w:p w14:paraId="0F5B4C90"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11/25/20</w:t>
            </w:r>
          </w:p>
        </w:tc>
        <w:tc>
          <w:tcPr>
            <w:tcW w:w="1100" w:type="dxa"/>
            <w:tcBorders>
              <w:top w:val="nil"/>
              <w:left w:val="nil"/>
              <w:bottom w:val="dotted" w:sz="4" w:space="0" w:color="auto"/>
              <w:right w:val="single" w:sz="8" w:space="0" w:color="auto"/>
            </w:tcBorders>
            <w:shd w:val="clear" w:color="auto" w:fill="auto"/>
            <w:noWrap/>
            <w:vAlign w:val="bottom"/>
            <w:hideMark/>
          </w:tcPr>
          <w:p w14:paraId="3C94D879"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3.00</w:t>
            </w:r>
          </w:p>
        </w:tc>
      </w:tr>
      <w:tr w:rsidR="009E7370" w:rsidRPr="009E7370" w14:paraId="3D333397"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2D1512FD"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8</w:t>
            </w:r>
          </w:p>
        </w:tc>
        <w:tc>
          <w:tcPr>
            <w:tcW w:w="1100" w:type="dxa"/>
            <w:tcBorders>
              <w:top w:val="nil"/>
              <w:left w:val="nil"/>
              <w:bottom w:val="dotted" w:sz="4" w:space="0" w:color="auto"/>
              <w:right w:val="dotted" w:sz="4" w:space="0" w:color="auto"/>
            </w:tcBorders>
            <w:shd w:val="clear" w:color="auto" w:fill="auto"/>
            <w:noWrap/>
            <w:vAlign w:val="bottom"/>
            <w:hideMark/>
          </w:tcPr>
          <w:p w14:paraId="1C862FEE"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157</w:t>
            </w:r>
          </w:p>
        </w:tc>
        <w:tc>
          <w:tcPr>
            <w:tcW w:w="1100" w:type="dxa"/>
            <w:tcBorders>
              <w:top w:val="nil"/>
              <w:left w:val="nil"/>
              <w:bottom w:val="dotted" w:sz="4" w:space="0" w:color="auto"/>
              <w:right w:val="dotted" w:sz="4" w:space="0" w:color="auto"/>
            </w:tcBorders>
            <w:shd w:val="clear" w:color="auto" w:fill="auto"/>
            <w:noWrap/>
            <w:vAlign w:val="bottom"/>
            <w:hideMark/>
          </w:tcPr>
          <w:p w14:paraId="62E983E4"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69</w:t>
            </w:r>
          </w:p>
        </w:tc>
        <w:tc>
          <w:tcPr>
            <w:tcW w:w="1100" w:type="dxa"/>
            <w:tcBorders>
              <w:top w:val="nil"/>
              <w:left w:val="nil"/>
              <w:bottom w:val="dotted" w:sz="4" w:space="0" w:color="auto"/>
              <w:right w:val="dotted" w:sz="4" w:space="0" w:color="auto"/>
            </w:tcBorders>
            <w:shd w:val="clear" w:color="auto" w:fill="auto"/>
            <w:noWrap/>
            <w:vAlign w:val="bottom"/>
            <w:hideMark/>
          </w:tcPr>
          <w:p w14:paraId="3375B824"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3/26/21</w:t>
            </w:r>
          </w:p>
        </w:tc>
        <w:tc>
          <w:tcPr>
            <w:tcW w:w="1100" w:type="dxa"/>
            <w:tcBorders>
              <w:top w:val="nil"/>
              <w:left w:val="nil"/>
              <w:bottom w:val="dotted" w:sz="4" w:space="0" w:color="auto"/>
              <w:right w:val="single" w:sz="8" w:space="0" w:color="auto"/>
            </w:tcBorders>
            <w:shd w:val="clear" w:color="auto" w:fill="auto"/>
            <w:noWrap/>
            <w:vAlign w:val="bottom"/>
            <w:hideMark/>
          </w:tcPr>
          <w:p w14:paraId="46260FA6"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3.36</w:t>
            </w:r>
          </w:p>
        </w:tc>
      </w:tr>
      <w:tr w:rsidR="009E7370" w:rsidRPr="009E7370" w14:paraId="06FE5E59"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704EEAFD"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9</w:t>
            </w:r>
          </w:p>
        </w:tc>
        <w:tc>
          <w:tcPr>
            <w:tcW w:w="1100" w:type="dxa"/>
            <w:tcBorders>
              <w:top w:val="nil"/>
              <w:left w:val="nil"/>
              <w:bottom w:val="dotted" w:sz="4" w:space="0" w:color="auto"/>
              <w:right w:val="dotted" w:sz="4" w:space="0" w:color="auto"/>
            </w:tcBorders>
            <w:shd w:val="clear" w:color="auto" w:fill="auto"/>
            <w:noWrap/>
            <w:vAlign w:val="bottom"/>
            <w:hideMark/>
          </w:tcPr>
          <w:p w14:paraId="1E99E286"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120</w:t>
            </w:r>
          </w:p>
        </w:tc>
        <w:tc>
          <w:tcPr>
            <w:tcW w:w="1100" w:type="dxa"/>
            <w:tcBorders>
              <w:top w:val="nil"/>
              <w:left w:val="nil"/>
              <w:bottom w:val="dotted" w:sz="4" w:space="0" w:color="auto"/>
              <w:right w:val="dotted" w:sz="4" w:space="0" w:color="auto"/>
            </w:tcBorders>
            <w:shd w:val="clear" w:color="auto" w:fill="auto"/>
            <w:noWrap/>
            <w:vAlign w:val="bottom"/>
            <w:hideMark/>
          </w:tcPr>
          <w:p w14:paraId="1093F6D7"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w:t>
            </w:r>
          </w:p>
        </w:tc>
        <w:tc>
          <w:tcPr>
            <w:tcW w:w="1100" w:type="dxa"/>
            <w:tcBorders>
              <w:top w:val="nil"/>
              <w:left w:val="nil"/>
              <w:bottom w:val="dotted" w:sz="4" w:space="0" w:color="auto"/>
              <w:right w:val="dotted" w:sz="4" w:space="0" w:color="auto"/>
            </w:tcBorders>
            <w:shd w:val="clear" w:color="auto" w:fill="auto"/>
            <w:noWrap/>
            <w:vAlign w:val="bottom"/>
            <w:hideMark/>
          </w:tcPr>
          <w:p w14:paraId="17714683"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3/26/21</w:t>
            </w:r>
          </w:p>
        </w:tc>
        <w:tc>
          <w:tcPr>
            <w:tcW w:w="1100" w:type="dxa"/>
            <w:tcBorders>
              <w:top w:val="nil"/>
              <w:left w:val="nil"/>
              <w:bottom w:val="dotted" w:sz="4" w:space="0" w:color="auto"/>
              <w:right w:val="single" w:sz="8" w:space="0" w:color="auto"/>
            </w:tcBorders>
            <w:shd w:val="clear" w:color="auto" w:fill="auto"/>
            <w:noWrap/>
            <w:vAlign w:val="bottom"/>
            <w:hideMark/>
          </w:tcPr>
          <w:p w14:paraId="6FAAD01A"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3.17</w:t>
            </w:r>
          </w:p>
        </w:tc>
      </w:tr>
      <w:tr w:rsidR="009E7370" w:rsidRPr="009E7370" w14:paraId="7B4C0C6C"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67763B32"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10</w:t>
            </w:r>
          </w:p>
        </w:tc>
        <w:tc>
          <w:tcPr>
            <w:tcW w:w="1100" w:type="dxa"/>
            <w:tcBorders>
              <w:top w:val="nil"/>
              <w:left w:val="nil"/>
              <w:bottom w:val="dotted" w:sz="4" w:space="0" w:color="auto"/>
              <w:right w:val="dotted" w:sz="4" w:space="0" w:color="auto"/>
            </w:tcBorders>
            <w:shd w:val="clear" w:color="auto" w:fill="auto"/>
            <w:noWrap/>
            <w:vAlign w:val="bottom"/>
            <w:hideMark/>
          </w:tcPr>
          <w:p w14:paraId="3DC9D637"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161</w:t>
            </w:r>
          </w:p>
        </w:tc>
        <w:tc>
          <w:tcPr>
            <w:tcW w:w="1100" w:type="dxa"/>
            <w:tcBorders>
              <w:top w:val="nil"/>
              <w:left w:val="nil"/>
              <w:bottom w:val="dotted" w:sz="4" w:space="0" w:color="auto"/>
              <w:right w:val="dotted" w:sz="4" w:space="0" w:color="auto"/>
            </w:tcBorders>
            <w:shd w:val="clear" w:color="auto" w:fill="auto"/>
            <w:noWrap/>
            <w:vAlign w:val="bottom"/>
            <w:hideMark/>
          </w:tcPr>
          <w:p w14:paraId="032BC8C9"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75</w:t>
            </w:r>
          </w:p>
        </w:tc>
        <w:tc>
          <w:tcPr>
            <w:tcW w:w="1100" w:type="dxa"/>
            <w:tcBorders>
              <w:top w:val="nil"/>
              <w:left w:val="nil"/>
              <w:bottom w:val="dotted" w:sz="4" w:space="0" w:color="auto"/>
              <w:right w:val="dotted" w:sz="4" w:space="0" w:color="auto"/>
            </w:tcBorders>
            <w:shd w:val="clear" w:color="auto" w:fill="auto"/>
            <w:noWrap/>
            <w:vAlign w:val="bottom"/>
            <w:hideMark/>
          </w:tcPr>
          <w:p w14:paraId="41C28177"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3/26/21</w:t>
            </w:r>
          </w:p>
        </w:tc>
        <w:tc>
          <w:tcPr>
            <w:tcW w:w="1100" w:type="dxa"/>
            <w:tcBorders>
              <w:top w:val="nil"/>
              <w:left w:val="nil"/>
              <w:bottom w:val="dotted" w:sz="4" w:space="0" w:color="auto"/>
              <w:right w:val="single" w:sz="8" w:space="0" w:color="auto"/>
            </w:tcBorders>
            <w:shd w:val="clear" w:color="auto" w:fill="auto"/>
            <w:noWrap/>
            <w:vAlign w:val="bottom"/>
            <w:hideMark/>
          </w:tcPr>
          <w:p w14:paraId="5DED7FC8"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3.52</w:t>
            </w:r>
          </w:p>
        </w:tc>
      </w:tr>
      <w:tr w:rsidR="009E7370" w:rsidRPr="009E7370" w14:paraId="4B7DE0E9"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2F85733C"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11</w:t>
            </w:r>
          </w:p>
        </w:tc>
        <w:tc>
          <w:tcPr>
            <w:tcW w:w="1100" w:type="dxa"/>
            <w:tcBorders>
              <w:top w:val="nil"/>
              <w:left w:val="nil"/>
              <w:bottom w:val="dotted" w:sz="4" w:space="0" w:color="auto"/>
              <w:right w:val="dotted" w:sz="4" w:space="0" w:color="auto"/>
            </w:tcBorders>
            <w:shd w:val="clear" w:color="auto" w:fill="auto"/>
            <w:noWrap/>
            <w:vAlign w:val="bottom"/>
            <w:hideMark/>
          </w:tcPr>
          <w:p w14:paraId="2DA2A322"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133</w:t>
            </w:r>
          </w:p>
        </w:tc>
        <w:tc>
          <w:tcPr>
            <w:tcW w:w="1100" w:type="dxa"/>
            <w:tcBorders>
              <w:top w:val="nil"/>
              <w:left w:val="nil"/>
              <w:bottom w:val="dotted" w:sz="4" w:space="0" w:color="auto"/>
              <w:right w:val="dotted" w:sz="4" w:space="0" w:color="auto"/>
            </w:tcBorders>
            <w:shd w:val="clear" w:color="auto" w:fill="auto"/>
            <w:noWrap/>
            <w:vAlign w:val="bottom"/>
            <w:hideMark/>
          </w:tcPr>
          <w:p w14:paraId="53591D20"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11</w:t>
            </w:r>
          </w:p>
        </w:tc>
        <w:tc>
          <w:tcPr>
            <w:tcW w:w="1100" w:type="dxa"/>
            <w:tcBorders>
              <w:top w:val="nil"/>
              <w:left w:val="nil"/>
              <w:bottom w:val="dotted" w:sz="4" w:space="0" w:color="auto"/>
              <w:right w:val="dotted" w:sz="4" w:space="0" w:color="auto"/>
            </w:tcBorders>
            <w:shd w:val="clear" w:color="auto" w:fill="auto"/>
            <w:noWrap/>
            <w:vAlign w:val="bottom"/>
            <w:hideMark/>
          </w:tcPr>
          <w:p w14:paraId="1CBF434C"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3/26/21</w:t>
            </w:r>
          </w:p>
        </w:tc>
        <w:tc>
          <w:tcPr>
            <w:tcW w:w="1100" w:type="dxa"/>
            <w:tcBorders>
              <w:top w:val="nil"/>
              <w:left w:val="nil"/>
              <w:bottom w:val="dotted" w:sz="4" w:space="0" w:color="auto"/>
              <w:right w:val="single" w:sz="8" w:space="0" w:color="auto"/>
            </w:tcBorders>
            <w:shd w:val="clear" w:color="auto" w:fill="auto"/>
            <w:noWrap/>
            <w:vAlign w:val="bottom"/>
            <w:hideMark/>
          </w:tcPr>
          <w:p w14:paraId="708578F2"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2.86</w:t>
            </w:r>
          </w:p>
        </w:tc>
      </w:tr>
      <w:tr w:rsidR="009E7370" w:rsidRPr="009E7370" w14:paraId="1F22340B"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372A345F"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12</w:t>
            </w:r>
          </w:p>
        </w:tc>
        <w:tc>
          <w:tcPr>
            <w:tcW w:w="1100" w:type="dxa"/>
            <w:tcBorders>
              <w:top w:val="nil"/>
              <w:left w:val="nil"/>
              <w:bottom w:val="dotted" w:sz="4" w:space="0" w:color="auto"/>
              <w:right w:val="dotted" w:sz="4" w:space="0" w:color="auto"/>
            </w:tcBorders>
            <w:shd w:val="clear" w:color="auto" w:fill="auto"/>
            <w:noWrap/>
            <w:vAlign w:val="bottom"/>
            <w:hideMark/>
          </w:tcPr>
          <w:p w14:paraId="6927DF4D"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154</w:t>
            </w:r>
          </w:p>
        </w:tc>
        <w:tc>
          <w:tcPr>
            <w:tcW w:w="1100" w:type="dxa"/>
            <w:tcBorders>
              <w:top w:val="nil"/>
              <w:left w:val="nil"/>
              <w:bottom w:val="dotted" w:sz="4" w:space="0" w:color="auto"/>
              <w:right w:val="dotted" w:sz="4" w:space="0" w:color="auto"/>
            </w:tcBorders>
            <w:shd w:val="clear" w:color="auto" w:fill="auto"/>
            <w:noWrap/>
            <w:vAlign w:val="bottom"/>
            <w:hideMark/>
          </w:tcPr>
          <w:p w14:paraId="39AE6F0E"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62</w:t>
            </w:r>
          </w:p>
        </w:tc>
        <w:tc>
          <w:tcPr>
            <w:tcW w:w="1100" w:type="dxa"/>
            <w:tcBorders>
              <w:top w:val="nil"/>
              <w:left w:val="nil"/>
              <w:bottom w:val="dotted" w:sz="4" w:space="0" w:color="auto"/>
              <w:right w:val="dotted" w:sz="4" w:space="0" w:color="auto"/>
            </w:tcBorders>
            <w:shd w:val="clear" w:color="auto" w:fill="auto"/>
            <w:noWrap/>
            <w:vAlign w:val="bottom"/>
            <w:hideMark/>
          </w:tcPr>
          <w:p w14:paraId="73E73D01"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3/30/21</w:t>
            </w:r>
          </w:p>
        </w:tc>
        <w:tc>
          <w:tcPr>
            <w:tcW w:w="1100" w:type="dxa"/>
            <w:tcBorders>
              <w:top w:val="nil"/>
              <w:left w:val="nil"/>
              <w:bottom w:val="dotted" w:sz="4" w:space="0" w:color="auto"/>
              <w:right w:val="single" w:sz="8" w:space="0" w:color="auto"/>
            </w:tcBorders>
            <w:shd w:val="clear" w:color="auto" w:fill="auto"/>
            <w:noWrap/>
            <w:vAlign w:val="bottom"/>
            <w:hideMark/>
          </w:tcPr>
          <w:p w14:paraId="091C562A"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3.23</w:t>
            </w:r>
          </w:p>
        </w:tc>
      </w:tr>
      <w:tr w:rsidR="009E7370" w:rsidRPr="009E7370" w14:paraId="2314F4E5"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7E3358F8"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13</w:t>
            </w:r>
          </w:p>
        </w:tc>
        <w:tc>
          <w:tcPr>
            <w:tcW w:w="1100" w:type="dxa"/>
            <w:tcBorders>
              <w:top w:val="nil"/>
              <w:left w:val="nil"/>
              <w:bottom w:val="dotted" w:sz="4" w:space="0" w:color="auto"/>
              <w:right w:val="dotted" w:sz="4" w:space="0" w:color="auto"/>
            </w:tcBorders>
            <w:shd w:val="clear" w:color="auto" w:fill="auto"/>
            <w:noWrap/>
            <w:vAlign w:val="bottom"/>
            <w:hideMark/>
          </w:tcPr>
          <w:p w14:paraId="12E90D2B"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156</w:t>
            </w:r>
          </w:p>
        </w:tc>
        <w:tc>
          <w:tcPr>
            <w:tcW w:w="1100" w:type="dxa"/>
            <w:tcBorders>
              <w:top w:val="nil"/>
              <w:left w:val="nil"/>
              <w:bottom w:val="dotted" w:sz="4" w:space="0" w:color="auto"/>
              <w:right w:val="dotted" w:sz="4" w:space="0" w:color="auto"/>
            </w:tcBorders>
            <w:shd w:val="clear" w:color="auto" w:fill="auto"/>
            <w:noWrap/>
            <w:vAlign w:val="bottom"/>
            <w:hideMark/>
          </w:tcPr>
          <w:p w14:paraId="11AAF3D4"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65</w:t>
            </w:r>
          </w:p>
        </w:tc>
        <w:tc>
          <w:tcPr>
            <w:tcW w:w="1100" w:type="dxa"/>
            <w:tcBorders>
              <w:top w:val="nil"/>
              <w:left w:val="nil"/>
              <w:bottom w:val="dotted" w:sz="4" w:space="0" w:color="auto"/>
              <w:right w:val="dotted" w:sz="4" w:space="0" w:color="auto"/>
            </w:tcBorders>
            <w:shd w:val="clear" w:color="auto" w:fill="auto"/>
            <w:noWrap/>
            <w:vAlign w:val="bottom"/>
            <w:hideMark/>
          </w:tcPr>
          <w:p w14:paraId="6658D13F"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5/13/21</w:t>
            </w:r>
          </w:p>
        </w:tc>
        <w:tc>
          <w:tcPr>
            <w:tcW w:w="1100" w:type="dxa"/>
            <w:tcBorders>
              <w:top w:val="nil"/>
              <w:left w:val="nil"/>
              <w:bottom w:val="dotted" w:sz="4" w:space="0" w:color="auto"/>
              <w:right w:val="single" w:sz="8" w:space="0" w:color="auto"/>
            </w:tcBorders>
            <w:shd w:val="clear" w:color="auto" w:fill="auto"/>
            <w:noWrap/>
            <w:vAlign w:val="bottom"/>
            <w:hideMark/>
          </w:tcPr>
          <w:p w14:paraId="786057CB"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3.69</w:t>
            </w:r>
          </w:p>
        </w:tc>
      </w:tr>
      <w:tr w:rsidR="009E7370" w:rsidRPr="009E7370" w14:paraId="27A166F9"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7603A943"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14</w:t>
            </w:r>
          </w:p>
        </w:tc>
        <w:tc>
          <w:tcPr>
            <w:tcW w:w="1100" w:type="dxa"/>
            <w:tcBorders>
              <w:top w:val="nil"/>
              <w:left w:val="nil"/>
              <w:bottom w:val="dotted" w:sz="4" w:space="0" w:color="auto"/>
              <w:right w:val="dotted" w:sz="4" w:space="0" w:color="auto"/>
            </w:tcBorders>
            <w:shd w:val="clear" w:color="auto" w:fill="auto"/>
            <w:noWrap/>
            <w:vAlign w:val="bottom"/>
            <w:hideMark/>
          </w:tcPr>
          <w:p w14:paraId="058178C3"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169</w:t>
            </w:r>
          </w:p>
        </w:tc>
        <w:tc>
          <w:tcPr>
            <w:tcW w:w="1100" w:type="dxa"/>
            <w:tcBorders>
              <w:top w:val="nil"/>
              <w:left w:val="nil"/>
              <w:bottom w:val="dotted" w:sz="4" w:space="0" w:color="auto"/>
              <w:right w:val="dotted" w:sz="4" w:space="0" w:color="auto"/>
            </w:tcBorders>
            <w:shd w:val="clear" w:color="auto" w:fill="auto"/>
            <w:noWrap/>
            <w:vAlign w:val="bottom"/>
            <w:hideMark/>
          </w:tcPr>
          <w:p w14:paraId="53028969"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87</w:t>
            </w:r>
          </w:p>
        </w:tc>
        <w:tc>
          <w:tcPr>
            <w:tcW w:w="1100" w:type="dxa"/>
            <w:tcBorders>
              <w:top w:val="nil"/>
              <w:left w:val="nil"/>
              <w:bottom w:val="dotted" w:sz="4" w:space="0" w:color="auto"/>
              <w:right w:val="dotted" w:sz="4" w:space="0" w:color="auto"/>
            </w:tcBorders>
            <w:shd w:val="clear" w:color="auto" w:fill="auto"/>
            <w:noWrap/>
            <w:vAlign w:val="bottom"/>
            <w:hideMark/>
          </w:tcPr>
          <w:p w14:paraId="235E604E"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5/14/21</w:t>
            </w:r>
          </w:p>
        </w:tc>
        <w:tc>
          <w:tcPr>
            <w:tcW w:w="1100" w:type="dxa"/>
            <w:tcBorders>
              <w:top w:val="nil"/>
              <w:left w:val="nil"/>
              <w:bottom w:val="dotted" w:sz="4" w:space="0" w:color="auto"/>
              <w:right w:val="single" w:sz="8" w:space="0" w:color="auto"/>
            </w:tcBorders>
            <w:shd w:val="clear" w:color="auto" w:fill="auto"/>
            <w:noWrap/>
            <w:vAlign w:val="bottom"/>
            <w:hideMark/>
          </w:tcPr>
          <w:p w14:paraId="76A15E09"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2.86</w:t>
            </w:r>
          </w:p>
        </w:tc>
      </w:tr>
      <w:tr w:rsidR="009E7370" w:rsidRPr="009E7370" w14:paraId="371EF8F6"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75F820EA"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15</w:t>
            </w:r>
          </w:p>
        </w:tc>
        <w:tc>
          <w:tcPr>
            <w:tcW w:w="1100" w:type="dxa"/>
            <w:tcBorders>
              <w:top w:val="nil"/>
              <w:left w:val="nil"/>
              <w:bottom w:val="dotted" w:sz="4" w:space="0" w:color="auto"/>
              <w:right w:val="dotted" w:sz="4" w:space="0" w:color="auto"/>
            </w:tcBorders>
            <w:shd w:val="clear" w:color="auto" w:fill="auto"/>
            <w:noWrap/>
            <w:vAlign w:val="bottom"/>
            <w:hideMark/>
          </w:tcPr>
          <w:p w14:paraId="4B13B5A1"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166</w:t>
            </w:r>
          </w:p>
        </w:tc>
        <w:tc>
          <w:tcPr>
            <w:tcW w:w="1100" w:type="dxa"/>
            <w:tcBorders>
              <w:top w:val="nil"/>
              <w:left w:val="nil"/>
              <w:bottom w:val="dotted" w:sz="4" w:space="0" w:color="auto"/>
              <w:right w:val="dotted" w:sz="4" w:space="0" w:color="auto"/>
            </w:tcBorders>
            <w:shd w:val="clear" w:color="auto" w:fill="auto"/>
            <w:noWrap/>
            <w:vAlign w:val="bottom"/>
            <w:hideMark/>
          </w:tcPr>
          <w:p w14:paraId="4E2BCECF"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84</w:t>
            </w:r>
          </w:p>
        </w:tc>
        <w:tc>
          <w:tcPr>
            <w:tcW w:w="1100" w:type="dxa"/>
            <w:tcBorders>
              <w:top w:val="nil"/>
              <w:left w:val="nil"/>
              <w:bottom w:val="dotted" w:sz="4" w:space="0" w:color="auto"/>
              <w:right w:val="dotted" w:sz="4" w:space="0" w:color="auto"/>
            </w:tcBorders>
            <w:shd w:val="clear" w:color="auto" w:fill="auto"/>
            <w:noWrap/>
            <w:vAlign w:val="bottom"/>
            <w:hideMark/>
          </w:tcPr>
          <w:p w14:paraId="01A9B591"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10/15/21</w:t>
            </w:r>
          </w:p>
        </w:tc>
        <w:tc>
          <w:tcPr>
            <w:tcW w:w="1100" w:type="dxa"/>
            <w:tcBorders>
              <w:top w:val="nil"/>
              <w:left w:val="nil"/>
              <w:bottom w:val="dotted" w:sz="4" w:space="0" w:color="auto"/>
              <w:right w:val="single" w:sz="8" w:space="0" w:color="auto"/>
            </w:tcBorders>
            <w:shd w:val="clear" w:color="auto" w:fill="auto"/>
            <w:noWrap/>
            <w:vAlign w:val="bottom"/>
            <w:hideMark/>
          </w:tcPr>
          <w:p w14:paraId="66A73166"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4.00</w:t>
            </w:r>
          </w:p>
        </w:tc>
      </w:tr>
      <w:tr w:rsidR="009E7370" w:rsidRPr="009E7370" w14:paraId="40A86BFD"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3A41D1AE"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16</w:t>
            </w:r>
          </w:p>
        </w:tc>
        <w:tc>
          <w:tcPr>
            <w:tcW w:w="1100" w:type="dxa"/>
            <w:tcBorders>
              <w:top w:val="nil"/>
              <w:left w:val="nil"/>
              <w:bottom w:val="dotted" w:sz="4" w:space="0" w:color="auto"/>
              <w:right w:val="dotted" w:sz="4" w:space="0" w:color="auto"/>
            </w:tcBorders>
            <w:shd w:val="clear" w:color="auto" w:fill="auto"/>
            <w:noWrap/>
            <w:vAlign w:val="bottom"/>
            <w:hideMark/>
          </w:tcPr>
          <w:p w14:paraId="0A15D1A9"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139</w:t>
            </w:r>
          </w:p>
        </w:tc>
        <w:tc>
          <w:tcPr>
            <w:tcW w:w="1100" w:type="dxa"/>
            <w:tcBorders>
              <w:top w:val="nil"/>
              <w:left w:val="nil"/>
              <w:bottom w:val="dotted" w:sz="4" w:space="0" w:color="auto"/>
              <w:right w:val="dotted" w:sz="4" w:space="0" w:color="auto"/>
            </w:tcBorders>
            <w:shd w:val="clear" w:color="auto" w:fill="auto"/>
            <w:noWrap/>
            <w:vAlign w:val="bottom"/>
            <w:hideMark/>
          </w:tcPr>
          <w:p w14:paraId="021904E2"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28</w:t>
            </w:r>
          </w:p>
        </w:tc>
        <w:tc>
          <w:tcPr>
            <w:tcW w:w="1100" w:type="dxa"/>
            <w:tcBorders>
              <w:top w:val="nil"/>
              <w:left w:val="nil"/>
              <w:bottom w:val="dotted" w:sz="4" w:space="0" w:color="auto"/>
              <w:right w:val="dotted" w:sz="4" w:space="0" w:color="auto"/>
            </w:tcBorders>
            <w:shd w:val="clear" w:color="auto" w:fill="auto"/>
            <w:noWrap/>
            <w:vAlign w:val="bottom"/>
            <w:hideMark/>
          </w:tcPr>
          <w:p w14:paraId="14DD0654"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10/15/21</w:t>
            </w:r>
          </w:p>
        </w:tc>
        <w:tc>
          <w:tcPr>
            <w:tcW w:w="1100" w:type="dxa"/>
            <w:tcBorders>
              <w:top w:val="nil"/>
              <w:left w:val="nil"/>
              <w:bottom w:val="dotted" w:sz="4" w:space="0" w:color="auto"/>
              <w:right w:val="single" w:sz="8" w:space="0" w:color="auto"/>
            </w:tcBorders>
            <w:shd w:val="clear" w:color="auto" w:fill="auto"/>
            <w:noWrap/>
            <w:vAlign w:val="bottom"/>
            <w:hideMark/>
          </w:tcPr>
          <w:p w14:paraId="7E488F25"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3.61</w:t>
            </w:r>
          </w:p>
        </w:tc>
      </w:tr>
      <w:tr w:rsidR="009E7370" w:rsidRPr="009E7370" w14:paraId="72CA969A" w14:textId="77777777" w:rsidTr="009E7370">
        <w:trPr>
          <w:trHeight w:val="255"/>
          <w:jc w:val="center"/>
        </w:trPr>
        <w:tc>
          <w:tcPr>
            <w:tcW w:w="1100" w:type="dxa"/>
            <w:tcBorders>
              <w:top w:val="nil"/>
              <w:left w:val="single" w:sz="8" w:space="0" w:color="auto"/>
              <w:bottom w:val="dotted" w:sz="4" w:space="0" w:color="auto"/>
              <w:right w:val="dotted" w:sz="4" w:space="0" w:color="auto"/>
            </w:tcBorders>
            <w:shd w:val="clear" w:color="auto" w:fill="auto"/>
            <w:noWrap/>
            <w:vAlign w:val="bottom"/>
            <w:hideMark/>
          </w:tcPr>
          <w:p w14:paraId="184391F8"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17</w:t>
            </w:r>
          </w:p>
        </w:tc>
        <w:tc>
          <w:tcPr>
            <w:tcW w:w="1100" w:type="dxa"/>
            <w:tcBorders>
              <w:top w:val="nil"/>
              <w:left w:val="nil"/>
              <w:bottom w:val="dotted" w:sz="4" w:space="0" w:color="auto"/>
              <w:right w:val="dotted" w:sz="4" w:space="0" w:color="auto"/>
            </w:tcBorders>
            <w:shd w:val="clear" w:color="auto" w:fill="auto"/>
            <w:noWrap/>
            <w:vAlign w:val="bottom"/>
            <w:hideMark/>
          </w:tcPr>
          <w:p w14:paraId="73438E63"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152</w:t>
            </w:r>
          </w:p>
        </w:tc>
        <w:tc>
          <w:tcPr>
            <w:tcW w:w="1100" w:type="dxa"/>
            <w:tcBorders>
              <w:top w:val="nil"/>
              <w:left w:val="nil"/>
              <w:bottom w:val="dotted" w:sz="4" w:space="0" w:color="auto"/>
              <w:right w:val="dotted" w:sz="4" w:space="0" w:color="auto"/>
            </w:tcBorders>
            <w:shd w:val="clear" w:color="auto" w:fill="auto"/>
            <w:noWrap/>
            <w:vAlign w:val="bottom"/>
            <w:hideMark/>
          </w:tcPr>
          <w:p w14:paraId="01BA6E1F"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61</w:t>
            </w:r>
          </w:p>
        </w:tc>
        <w:tc>
          <w:tcPr>
            <w:tcW w:w="1100" w:type="dxa"/>
            <w:tcBorders>
              <w:top w:val="nil"/>
              <w:left w:val="nil"/>
              <w:bottom w:val="dotted" w:sz="4" w:space="0" w:color="auto"/>
              <w:right w:val="dotted" w:sz="4" w:space="0" w:color="auto"/>
            </w:tcBorders>
            <w:shd w:val="clear" w:color="auto" w:fill="auto"/>
            <w:noWrap/>
            <w:vAlign w:val="bottom"/>
            <w:hideMark/>
          </w:tcPr>
          <w:p w14:paraId="681F3C01"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10/15/21</w:t>
            </w:r>
          </w:p>
        </w:tc>
        <w:tc>
          <w:tcPr>
            <w:tcW w:w="1100" w:type="dxa"/>
            <w:tcBorders>
              <w:top w:val="nil"/>
              <w:left w:val="nil"/>
              <w:bottom w:val="dotted" w:sz="4" w:space="0" w:color="auto"/>
              <w:right w:val="single" w:sz="8" w:space="0" w:color="auto"/>
            </w:tcBorders>
            <w:shd w:val="clear" w:color="auto" w:fill="auto"/>
            <w:noWrap/>
            <w:vAlign w:val="bottom"/>
            <w:hideMark/>
          </w:tcPr>
          <w:p w14:paraId="114DDAAB"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3.50</w:t>
            </w:r>
          </w:p>
        </w:tc>
      </w:tr>
      <w:tr w:rsidR="009E7370" w:rsidRPr="009E7370" w14:paraId="6CAAB5B1" w14:textId="77777777" w:rsidTr="009E7370">
        <w:trPr>
          <w:trHeight w:val="255"/>
          <w:jc w:val="center"/>
        </w:trPr>
        <w:tc>
          <w:tcPr>
            <w:tcW w:w="1100" w:type="dxa"/>
            <w:tcBorders>
              <w:top w:val="nil"/>
              <w:left w:val="single" w:sz="8" w:space="0" w:color="auto"/>
              <w:bottom w:val="single" w:sz="8" w:space="0" w:color="auto"/>
              <w:right w:val="dotted" w:sz="4" w:space="0" w:color="auto"/>
            </w:tcBorders>
            <w:shd w:val="clear" w:color="auto" w:fill="auto"/>
            <w:noWrap/>
            <w:vAlign w:val="bottom"/>
            <w:hideMark/>
          </w:tcPr>
          <w:p w14:paraId="610092E5" w14:textId="77777777" w:rsidR="009E7370" w:rsidRPr="009E7370" w:rsidRDefault="009E7370" w:rsidP="009E7370">
            <w:pPr>
              <w:spacing w:after="0" w:line="240" w:lineRule="auto"/>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Student 18</w:t>
            </w:r>
          </w:p>
        </w:tc>
        <w:tc>
          <w:tcPr>
            <w:tcW w:w="1100" w:type="dxa"/>
            <w:tcBorders>
              <w:top w:val="nil"/>
              <w:left w:val="nil"/>
              <w:bottom w:val="single" w:sz="8" w:space="0" w:color="auto"/>
              <w:right w:val="dotted" w:sz="4" w:space="0" w:color="auto"/>
            </w:tcBorders>
            <w:shd w:val="clear" w:color="auto" w:fill="auto"/>
            <w:noWrap/>
            <w:vAlign w:val="bottom"/>
            <w:hideMark/>
          </w:tcPr>
          <w:p w14:paraId="6E104C41"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128</w:t>
            </w:r>
          </w:p>
        </w:tc>
        <w:tc>
          <w:tcPr>
            <w:tcW w:w="1100" w:type="dxa"/>
            <w:tcBorders>
              <w:top w:val="nil"/>
              <w:left w:val="nil"/>
              <w:bottom w:val="single" w:sz="8" w:space="0" w:color="auto"/>
              <w:right w:val="dotted" w:sz="4" w:space="0" w:color="auto"/>
            </w:tcBorders>
            <w:shd w:val="clear" w:color="auto" w:fill="auto"/>
            <w:noWrap/>
            <w:vAlign w:val="bottom"/>
            <w:hideMark/>
          </w:tcPr>
          <w:p w14:paraId="024A5D7E"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6</w:t>
            </w:r>
          </w:p>
        </w:tc>
        <w:tc>
          <w:tcPr>
            <w:tcW w:w="1100" w:type="dxa"/>
            <w:tcBorders>
              <w:top w:val="nil"/>
              <w:left w:val="nil"/>
              <w:bottom w:val="single" w:sz="8" w:space="0" w:color="auto"/>
              <w:right w:val="dotted" w:sz="4" w:space="0" w:color="auto"/>
            </w:tcBorders>
            <w:shd w:val="clear" w:color="auto" w:fill="auto"/>
            <w:noWrap/>
            <w:vAlign w:val="bottom"/>
            <w:hideMark/>
          </w:tcPr>
          <w:p w14:paraId="79F15242"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10/15/21</w:t>
            </w:r>
          </w:p>
        </w:tc>
        <w:tc>
          <w:tcPr>
            <w:tcW w:w="1100" w:type="dxa"/>
            <w:tcBorders>
              <w:top w:val="nil"/>
              <w:left w:val="nil"/>
              <w:bottom w:val="single" w:sz="8" w:space="0" w:color="auto"/>
              <w:right w:val="single" w:sz="8" w:space="0" w:color="auto"/>
            </w:tcBorders>
            <w:shd w:val="clear" w:color="auto" w:fill="auto"/>
            <w:noWrap/>
            <w:vAlign w:val="bottom"/>
            <w:hideMark/>
          </w:tcPr>
          <w:p w14:paraId="39EDA39E" w14:textId="77777777" w:rsidR="009E7370" w:rsidRPr="009E7370" w:rsidRDefault="009E7370" w:rsidP="009E7370">
            <w:pPr>
              <w:spacing w:after="0" w:line="240" w:lineRule="auto"/>
              <w:jc w:val="center"/>
              <w:rPr>
                <w:rFonts w:ascii="Times New Roman" w:eastAsia="Times New Roman" w:hAnsi="Times New Roman" w:cs="Times New Roman"/>
                <w:sz w:val="20"/>
                <w:szCs w:val="20"/>
              </w:rPr>
            </w:pPr>
            <w:r w:rsidRPr="009E7370">
              <w:rPr>
                <w:rFonts w:ascii="Times New Roman" w:eastAsia="Times New Roman" w:hAnsi="Times New Roman" w:cs="Times New Roman"/>
                <w:sz w:val="20"/>
                <w:szCs w:val="20"/>
              </w:rPr>
              <w:t>3.17</w:t>
            </w:r>
          </w:p>
        </w:tc>
      </w:tr>
    </w:tbl>
    <w:p w14:paraId="53CCFC35" w14:textId="77777777" w:rsidR="00E56C83" w:rsidRDefault="00E56C83" w:rsidP="003339CE">
      <w:pPr>
        <w:spacing w:line="240" w:lineRule="auto"/>
        <w:rPr>
          <w:rFonts w:ascii="Times New Roman" w:hAnsi="Times New Roman" w:cs="Times New Roman"/>
          <w:sz w:val="24"/>
          <w:szCs w:val="24"/>
        </w:rPr>
      </w:pPr>
    </w:p>
    <w:p w14:paraId="4DE02176" w14:textId="669ED157" w:rsidR="00AE630B" w:rsidRDefault="00AF2A95" w:rsidP="00AE630B">
      <w:pPr>
        <w:pStyle w:val="ListParagraph"/>
        <w:ind w:left="0"/>
        <w:rPr>
          <w:rFonts w:ascii="Times New Roman" w:hAnsi="Times New Roman" w:cs="Times New Roman"/>
          <w:sz w:val="24"/>
          <w:szCs w:val="24"/>
        </w:rPr>
      </w:pPr>
      <w:r>
        <w:rPr>
          <w:rFonts w:ascii="Times New Roman" w:hAnsi="Times New Roman" w:cs="Times New Roman"/>
          <w:sz w:val="24"/>
          <w:szCs w:val="24"/>
        </w:rPr>
        <w:t>Consistent with a previous report on MFT scores,</w:t>
      </w:r>
      <w:r w:rsidR="00AE630B">
        <w:rPr>
          <w:rFonts w:ascii="Times New Roman" w:hAnsi="Times New Roman" w:cs="Times New Roman"/>
          <w:sz w:val="24"/>
          <w:szCs w:val="24"/>
        </w:rPr>
        <w:t xml:space="preserve"> </w:t>
      </w:r>
      <w:r w:rsidR="00774053">
        <w:rPr>
          <w:rFonts w:ascii="Times New Roman" w:hAnsi="Times New Roman" w:cs="Times New Roman"/>
          <w:sz w:val="24"/>
          <w:szCs w:val="24"/>
        </w:rPr>
        <w:t xml:space="preserve">it is </w:t>
      </w:r>
      <w:r w:rsidR="00AE630B">
        <w:rPr>
          <w:rFonts w:ascii="Times New Roman" w:hAnsi="Times New Roman" w:cs="Times New Roman"/>
          <w:sz w:val="24"/>
          <w:szCs w:val="24"/>
        </w:rPr>
        <w:t xml:space="preserve">remarkable that all the students that </w:t>
      </w:r>
      <w:r w:rsidR="00774053">
        <w:rPr>
          <w:rFonts w:ascii="Times New Roman" w:hAnsi="Times New Roman" w:cs="Times New Roman"/>
          <w:sz w:val="24"/>
          <w:szCs w:val="24"/>
        </w:rPr>
        <w:t>failed</w:t>
      </w:r>
      <w:r w:rsidR="00F57C7B">
        <w:rPr>
          <w:rFonts w:ascii="Times New Roman" w:hAnsi="Times New Roman" w:cs="Times New Roman"/>
          <w:sz w:val="24"/>
          <w:szCs w:val="24"/>
        </w:rPr>
        <w:t xml:space="preserve"> their first attempt</w:t>
      </w:r>
      <w:r w:rsidR="00774053">
        <w:rPr>
          <w:rFonts w:ascii="Times New Roman" w:hAnsi="Times New Roman" w:cs="Times New Roman"/>
          <w:sz w:val="24"/>
          <w:szCs w:val="24"/>
        </w:rPr>
        <w:t xml:space="preserve"> to achieve a passing score</w:t>
      </w:r>
      <w:r w:rsidR="00E301CD">
        <w:rPr>
          <w:rFonts w:ascii="Times New Roman" w:hAnsi="Times New Roman" w:cs="Times New Roman"/>
          <w:sz w:val="24"/>
          <w:szCs w:val="24"/>
        </w:rPr>
        <w:t xml:space="preserve"> (and were therefore forced to retake the exam)</w:t>
      </w:r>
      <w:r w:rsidR="00774053">
        <w:rPr>
          <w:rFonts w:ascii="Times New Roman" w:hAnsi="Times New Roman" w:cs="Times New Roman"/>
          <w:sz w:val="24"/>
          <w:szCs w:val="24"/>
        </w:rPr>
        <w:t xml:space="preserve"> in this cohort</w:t>
      </w:r>
      <w:r w:rsidR="00AE630B">
        <w:rPr>
          <w:rFonts w:ascii="Times New Roman" w:hAnsi="Times New Roman" w:cs="Times New Roman"/>
          <w:sz w:val="24"/>
          <w:szCs w:val="24"/>
        </w:rPr>
        <w:t xml:space="preserve"> came from</w:t>
      </w:r>
      <w:r w:rsidR="00774053">
        <w:rPr>
          <w:rFonts w:ascii="Times New Roman" w:hAnsi="Times New Roman" w:cs="Times New Roman"/>
          <w:sz w:val="24"/>
          <w:szCs w:val="24"/>
        </w:rPr>
        <w:t xml:space="preserve"> </w:t>
      </w:r>
      <w:r w:rsidR="00AE630B">
        <w:rPr>
          <w:rFonts w:ascii="Times New Roman" w:hAnsi="Times New Roman" w:cs="Times New Roman"/>
          <w:sz w:val="24"/>
          <w:szCs w:val="24"/>
        </w:rPr>
        <w:t>undergraduate program</w:t>
      </w:r>
      <w:r w:rsidR="00774053">
        <w:rPr>
          <w:rFonts w:ascii="Times New Roman" w:hAnsi="Times New Roman" w:cs="Times New Roman"/>
          <w:sz w:val="24"/>
          <w:szCs w:val="24"/>
        </w:rPr>
        <w:t>s other than our own</w:t>
      </w:r>
      <w:r w:rsidR="00AE630B">
        <w:rPr>
          <w:rFonts w:ascii="Times New Roman" w:hAnsi="Times New Roman" w:cs="Times New Roman"/>
          <w:sz w:val="24"/>
          <w:szCs w:val="24"/>
        </w:rPr>
        <w:t xml:space="preserve">. This indicates that </w:t>
      </w:r>
      <w:proofErr w:type="gramStart"/>
      <w:r w:rsidR="00AE630B">
        <w:rPr>
          <w:rFonts w:ascii="Times New Roman" w:hAnsi="Times New Roman" w:cs="Times New Roman"/>
          <w:sz w:val="24"/>
          <w:szCs w:val="24"/>
        </w:rPr>
        <w:t>a majority of</w:t>
      </w:r>
      <w:proofErr w:type="gramEnd"/>
      <w:r w:rsidR="00AE630B">
        <w:rPr>
          <w:rFonts w:ascii="Times New Roman" w:hAnsi="Times New Roman" w:cs="Times New Roman"/>
          <w:sz w:val="24"/>
          <w:szCs w:val="24"/>
        </w:rPr>
        <w:t xml:space="preserve"> the students who score below the median come from undergraduate programs that do not provide an adequate background for a physics major. Unfortunately, the</w:t>
      </w:r>
      <w:r w:rsidR="00AE630B" w:rsidRPr="00123DF1">
        <w:rPr>
          <w:rFonts w:ascii="Times New Roman" w:hAnsi="Times New Roman" w:cs="Times New Roman"/>
          <w:sz w:val="24"/>
          <w:szCs w:val="24"/>
        </w:rPr>
        <w:t xml:space="preserve"> weaknesses </w:t>
      </w:r>
      <w:r w:rsidR="00AE630B">
        <w:rPr>
          <w:rFonts w:ascii="Times New Roman" w:hAnsi="Times New Roman" w:cs="Times New Roman"/>
          <w:sz w:val="24"/>
          <w:szCs w:val="24"/>
        </w:rPr>
        <w:t xml:space="preserve">in their backgrounds </w:t>
      </w:r>
      <w:r w:rsidR="00AE630B" w:rsidRPr="00123DF1">
        <w:rPr>
          <w:rFonts w:ascii="Times New Roman" w:hAnsi="Times New Roman" w:cs="Times New Roman"/>
          <w:sz w:val="24"/>
          <w:szCs w:val="24"/>
        </w:rPr>
        <w:t xml:space="preserve">are not captured by the admissions process, </w:t>
      </w:r>
      <w:r w:rsidR="00AE630B">
        <w:rPr>
          <w:rFonts w:ascii="Times New Roman" w:hAnsi="Times New Roman" w:cs="Times New Roman"/>
          <w:sz w:val="24"/>
          <w:szCs w:val="24"/>
        </w:rPr>
        <w:t xml:space="preserve">as </w:t>
      </w:r>
      <w:proofErr w:type="gramStart"/>
      <w:r w:rsidR="00AE630B">
        <w:rPr>
          <w:rFonts w:ascii="Times New Roman" w:hAnsi="Times New Roman" w:cs="Times New Roman"/>
          <w:sz w:val="24"/>
          <w:szCs w:val="24"/>
        </w:rPr>
        <w:t>all of</w:t>
      </w:r>
      <w:proofErr w:type="gramEnd"/>
      <w:r w:rsidR="00AE630B">
        <w:rPr>
          <w:rFonts w:ascii="Times New Roman" w:hAnsi="Times New Roman" w:cs="Times New Roman"/>
          <w:sz w:val="24"/>
          <w:szCs w:val="24"/>
        </w:rPr>
        <w:t xml:space="preserve"> these students satisfied the typical admissions requirements including a 2.5 GPA and scores above 150 in the general GRE. </w:t>
      </w:r>
      <w:r w:rsidR="00E301CD">
        <w:rPr>
          <w:rFonts w:ascii="Times New Roman" w:hAnsi="Times New Roman" w:cs="Times New Roman"/>
          <w:sz w:val="24"/>
          <w:szCs w:val="24"/>
        </w:rPr>
        <w:t>As pointed out in our previous report, w</w:t>
      </w:r>
      <w:r w:rsidR="00AE630B">
        <w:rPr>
          <w:rFonts w:ascii="Times New Roman" w:hAnsi="Times New Roman" w:cs="Times New Roman"/>
          <w:sz w:val="24"/>
          <w:szCs w:val="24"/>
        </w:rPr>
        <w:t>e must conclude that the MFT, although intended to test undergraduate knowledge within the academic major, is a very valuable tool to help identify students at risk.</w:t>
      </w:r>
    </w:p>
    <w:p w14:paraId="63F5BD3B" w14:textId="656965BC" w:rsidR="004577F7" w:rsidRDefault="004577F7" w:rsidP="00AE630B">
      <w:pPr>
        <w:pStyle w:val="ListParagraph"/>
        <w:ind w:left="0"/>
        <w:rPr>
          <w:rFonts w:ascii="Times New Roman" w:hAnsi="Times New Roman" w:cs="Times New Roman"/>
          <w:sz w:val="24"/>
          <w:szCs w:val="24"/>
        </w:rPr>
      </w:pPr>
    </w:p>
    <w:p w14:paraId="1770CD51" w14:textId="3738AB3C" w:rsidR="004577F7" w:rsidRDefault="004577F7" w:rsidP="00AE630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 the 13 students that have attempted </w:t>
      </w:r>
      <w:r w:rsidR="001907E9">
        <w:rPr>
          <w:rFonts w:ascii="Times New Roman" w:hAnsi="Times New Roman" w:cs="Times New Roman"/>
          <w:sz w:val="24"/>
          <w:szCs w:val="24"/>
        </w:rPr>
        <w:t xml:space="preserve">the MFT during this period, there is only one that still </w:t>
      </w:r>
      <w:proofErr w:type="gramStart"/>
      <w:r w:rsidR="001907E9">
        <w:rPr>
          <w:rFonts w:ascii="Times New Roman" w:hAnsi="Times New Roman" w:cs="Times New Roman"/>
          <w:sz w:val="24"/>
          <w:szCs w:val="24"/>
        </w:rPr>
        <w:t>has to</w:t>
      </w:r>
      <w:proofErr w:type="gramEnd"/>
      <w:r w:rsidR="001907E9">
        <w:rPr>
          <w:rFonts w:ascii="Times New Roman" w:hAnsi="Times New Roman" w:cs="Times New Roman"/>
          <w:sz w:val="24"/>
          <w:szCs w:val="24"/>
        </w:rPr>
        <w:t xml:space="preserve"> demonstrate proficiency.</w:t>
      </w:r>
      <w:r w:rsidR="00F57C7B">
        <w:rPr>
          <w:rFonts w:ascii="Times New Roman" w:hAnsi="Times New Roman" w:cs="Times New Roman"/>
          <w:sz w:val="24"/>
          <w:szCs w:val="24"/>
        </w:rPr>
        <w:t xml:space="preserve"> In other words, upwards of 92% of these students are designated as proficient or higher.</w:t>
      </w:r>
    </w:p>
    <w:p w14:paraId="79F47177" w14:textId="1C5C23EA" w:rsidR="00E56C83" w:rsidRDefault="00AE630B" w:rsidP="0082004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chart below shows that there is a strong correlation between students’ MFT scores and their overall GPA.</w:t>
      </w:r>
    </w:p>
    <w:p w14:paraId="31B1D7DE" w14:textId="10E1DF80" w:rsidR="00E56C83" w:rsidRDefault="007D16E5" w:rsidP="00882B8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A2F286" wp14:editId="71398E9F">
            <wp:extent cx="5943600" cy="4199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extLst>
                        <a:ext uri="{28A0092B-C50C-407E-A947-70E740481C1C}">
                          <a14:useLocalDpi xmlns:a14="http://schemas.microsoft.com/office/drawing/2010/main" val="0"/>
                        </a:ext>
                      </a:extLst>
                    </a:blip>
                    <a:stretch>
                      <a:fillRect/>
                    </a:stretch>
                  </pic:blipFill>
                  <pic:spPr>
                    <a:xfrm>
                      <a:off x="0" y="0"/>
                      <a:ext cx="5943600" cy="4199890"/>
                    </a:xfrm>
                    <a:prstGeom prst="rect">
                      <a:avLst/>
                    </a:prstGeom>
                  </pic:spPr>
                </pic:pic>
              </a:graphicData>
            </a:graphic>
          </wp:inline>
        </w:drawing>
      </w:r>
    </w:p>
    <w:p w14:paraId="5F03BC87" w14:textId="62CC924A" w:rsidR="0082004C" w:rsidRDefault="0082004C" w:rsidP="0082004C">
      <w:pPr>
        <w:spacing w:after="0"/>
        <w:rPr>
          <w:rFonts w:ascii="Times New Roman" w:hAnsi="Times New Roman" w:cs="Times New Roman"/>
          <w:sz w:val="24"/>
          <w:szCs w:val="24"/>
        </w:rPr>
      </w:pPr>
      <w:r>
        <w:rPr>
          <w:rFonts w:ascii="Times New Roman" w:hAnsi="Times New Roman" w:cs="Times New Roman"/>
          <w:sz w:val="24"/>
          <w:szCs w:val="24"/>
        </w:rPr>
        <w:t xml:space="preserve">We believe this correlation confirms the conclusion above. Since graduate courses will obviously present a greater challenge to students with weak UG backgrounds, these students are also naturally expected to have lower GPAs. Thus, if low MFT scores are indeed a reflection of weak UG backgrounds, MFT scores should </w:t>
      </w:r>
      <w:proofErr w:type="gramStart"/>
      <w:r>
        <w:rPr>
          <w:rFonts w:ascii="Times New Roman" w:hAnsi="Times New Roman" w:cs="Times New Roman"/>
          <w:sz w:val="24"/>
          <w:szCs w:val="24"/>
        </w:rPr>
        <w:t>exhibit precisely</w:t>
      </w:r>
      <w:proofErr w:type="gramEnd"/>
      <w:r>
        <w:rPr>
          <w:rFonts w:ascii="Times New Roman" w:hAnsi="Times New Roman" w:cs="Times New Roman"/>
          <w:sz w:val="24"/>
          <w:szCs w:val="24"/>
        </w:rPr>
        <w:t xml:space="preserve"> the strong correlation with students’ GPAs seen in the chart below.</w:t>
      </w:r>
      <w:r w:rsidR="00822023">
        <w:rPr>
          <w:rFonts w:ascii="Times New Roman" w:hAnsi="Times New Roman" w:cs="Times New Roman"/>
          <w:sz w:val="24"/>
          <w:szCs w:val="24"/>
        </w:rPr>
        <w:t xml:space="preserve"> On the other hand, the GPA-MFT score correlation indicates that our grading and assessment practices in the graduate courses are validated by an instrument used at the national level. This is undoubtedly of greater significance than assessment tools developed locally</w:t>
      </w:r>
      <w:r w:rsidR="007C7C37">
        <w:rPr>
          <w:rFonts w:ascii="Times New Roman" w:hAnsi="Times New Roman" w:cs="Times New Roman"/>
          <w:sz w:val="24"/>
          <w:szCs w:val="24"/>
        </w:rPr>
        <w:t>, since the latter would typically be conceived, applied, graded</w:t>
      </w:r>
      <w:r w:rsidR="007E6E18">
        <w:rPr>
          <w:rFonts w:ascii="Times New Roman" w:hAnsi="Times New Roman" w:cs="Times New Roman"/>
          <w:sz w:val="24"/>
          <w:szCs w:val="24"/>
        </w:rPr>
        <w:t>, and analyzed</w:t>
      </w:r>
      <w:r w:rsidR="007C7C37">
        <w:rPr>
          <w:rFonts w:ascii="Times New Roman" w:hAnsi="Times New Roman" w:cs="Times New Roman"/>
          <w:sz w:val="24"/>
          <w:szCs w:val="24"/>
        </w:rPr>
        <w:t xml:space="preserve"> by the same faculty that teach the graduate courses</w:t>
      </w:r>
      <w:r w:rsidR="00822023">
        <w:rPr>
          <w:rFonts w:ascii="Times New Roman" w:hAnsi="Times New Roman" w:cs="Times New Roman"/>
          <w:sz w:val="24"/>
          <w:szCs w:val="24"/>
        </w:rPr>
        <w:t>.</w:t>
      </w:r>
      <w:r w:rsidR="007E6E71">
        <w:rPr>
          <w:rFonts w:ascii="Times New Roman" w:hAnsi="Times New Roman" w:cs="Times New Roman"/>
          <w:sz w:val="24"/>
          <w:szCs w:val="24"/>
        </w:rPr>
        <w:t xml:space="preserve"> Unlike our MFT/GRE based assessment, in-house assessment methods such as these fail the basic scientific requirement of a control group to validate the conclusions drawn from the study.</w:t>
      </w:r>
    </w:p>
    <w:p w14:paraId="4447F144" w14:textId="77777777" w:rsidR="004577F7" w:rsidRPr="00E56C83" w:rsidRDefault="004577F7" w:rsidP="004577F7">
      <w:pPr>
        <w:rPr>
          <w:rFonts w:ascii="Times New Roman" w:hAnsi="Times New Roman" w:cs="Times New Roman"/>
          <w:sz w:val="24"/>
          <w:szCs w:val="24"/>
        </w:rPr>
      </w:pPr>
    </w:p>
    <w:p w14:paraId="0EB34062"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2556C1C2" w14:textId="794A84D9" w:rsidR="0082004C" w:rsidRDefault="0082004C" w:rsidP="00537498">
      <w:pPr>
        <w:tabs>
          <w:tab w:val="left" w:pos="360"/>
        </w:tabs>
        <w:ind w:left="360"/>
        <w:rPr>
          <w:rFonts w:ascii="Times New Roman" w:hAnsi="Times New Roman" w:cs="Times New Roman"/>
          <w:sz w:val="24"/>
          <w:szCs w:val="24"/>
        </w:rPr>
      </w:pPr>
      <w:r>
        <w:rPr>
          <w:rFonts w:ascii="Times New Roman" w:hAnsi="Times New Roman" w:cs="Times New Roman"/>
          <w:sz w:val="24"/>
          <w:szCs w:val="24"/>
        </w:rPr>
        <w:t>Our recommendations are to:</w:t>
      </w:r>
    </w:p>
    <w:p w14:paraId="0C5406B2" w14:textId="189E9145" w:rsidR="0082004C" w:rsidRDefault="0082004C" w:rsidP="00177512">
      <w:pPr>
        <w:pStyle w:val="ListParagraph"/>
        <w:numPr>
          <w:ilvl w:val="0"/>
          <w:numId w:val="3"/>
        </w:numPr>
        <w:tabs>
          <w:tab w:val="left" w:pos="360"/>
        </w:tabs>
        <w:rPr>
          <w:rFonts w:ascii="Times New Roman" w:hAnsi="Times New Roman" w:cs="Times New Roman"/>
          <w:sz w:val="24"/>
          <w:szCs w:val="24"/>
        </w:rPr>
      </w:pPr>
      <w:r>
        <w:rPr>
          <w:rFonts w:ascii="Times New Roman" w:hAnsi="Times New Roman" w:cs="Times New Roman"/>
          <w:sz w:val="24"/>
          <w:szCs w:val="24"/>
        </w:rPr>
        <w:t>Continue to use the MFT as a tool to identify students at risk due to inadequate</w:t>
      </w:r>
      <w:r w:rsidR="00177512">
        <w:rPr>
          <w:rFonts w:ascii="Times New Roman" w:hAnsi="Times New Roman" w:cs="Times New Roman"/>
          <w:sz w:val="24"/>
          <w:szCs w:val="24"/>
        </w:rPr>
        <w:t xml:space="preserve"> </w:t>
      </w:r>
      <w:r>
        <w:rPr>
          <w:rFonts w:ascii="Times New Roman" w:hAnsi="Times New Roman" w:cs="Times New Roman"/>
          <w:sz w:val="24"/>
          <w:szCs w:val="24"/>
        </w:rPr>
        <w:t>backgrounds.</w:t>
      </w:r>
    </w:p>
    <w:p w14:paraId="0E919EA1" w14:textId="7951F603" w:rsidR="0082004C" w:rsidRDefault="00177512" w:rsidP="0082004C">
      <w:pPr>
        <w:pStyle w:val="ListParagraph"/>
        <w:numPr>
          <w:ilvl w:val="0"/>
          <w:numId w:val="3"/>
        </w:numPr>
        <w:tabs>
          <w:tab w:val="left" w:pos="360"/>
        </w:tabs>
        <w:rPr>
          <w:rFonts w:ascii="Times New Roman" w:hAnsi="Times New Roman" w:cs="Times New Roman"/>
          <w:sz w:val="24"/>
          <w:szCs w:val="24"/>
        </w:rPr>
      </w:pPr>
      <w:r>
        <w:rPr>
          <w:rFonts w:ascii="Times New Roman" w:hAnsi="Times New Roman" w:cs="Times New Roman"/>
          <w:sz w:val="24"/>
          <w:szCs w:val="24"/>
        </w:rPr>
        <w:lastRenderedPageBreak/>
        <w:t>Offer</w:t>
      </w:r>
      <w:r w:rsidR="0082004C">
        <w:rPr>
          <w:rFonts w:ascii="Times New Roman" w:hAnsi="Times New Roman" w:cs="Times New Roman"/>
          <w:sz w:val="24"/>
          <w:szCs w:val="24"/>
        </w:rPr>
        <w:t xml:space="preserve"> our GRE/MFT preparatory course</w:t>
      </w:r>
      <w:r>
        <w:rPr>
          <w:rFonts w:ascii="Times New Roman" w:hAnsi="Times New Roman" w:cs="Times New Roman"/>
          <w:sz w:val="24"/>
          <w:szCs w:val="24"/>
        </w:rPr>
        <w:t xml:space="preserve"> in a more consistent manner</w:t>
      </w:r>
      <w:r w:rsidR="0082004C">
        <w:rPr>
          <w:rFonts w:ascii="Times New Roman" w:hAnsi="Times New Roman" w:cs="Times New Roman"/>
          <w:sz w:val="24"/>
          <w:szCs w:val="24"/>
        </w:rPr>
        <w:t>.</w:t>
      </w:r>
      <w:r>
        <w:rPr>
          <w:rFonts w:ascii="Times New Roman" w:hAnsi="Times New Roman" w:cs="Times New Roman"/>
          <w:sz w:val="24"/>
          <w:szCs w:val="24"/>
        </w:rPr>
        <w:t xml:space="preserve"> We offered this course again last spring, after a long hiatus imposed by staffing and budget issues. The positive impact was immediately apparent: some of the students with the weakest backgrounds were finally able to achieve passing scores</w:t>
      </w:r>
      <w:r w:rsidR="004F7773">
        <w:rPr>
          <w:rFonts w:ascii="Times New Roman" w:hAnsi="Times New Roman" w:cs="Times New Roman"/>
          <w:sz w:val="24"/>
          <w:szCs w:val="24"/>
        </w:rPr>
        <w:t xml:space="preserve"> after taking the course. Several of these students had unsuccessfully taken the MFT at least twice </w:t>
      </w:r>
      <w:proofErr w:type="gramStart"/>
      <w:r w:rsidR="004F7773">
        <w:rPr>
          <w:rFonts w:ascii="Times New Roman" w:hAnsi="Times New Roman" w:cs="Times New Roman"/>
          <w:sz w:val="24"/>
          <w:szCs w:val="24"/>
        </w:rPr>
        <w:t>before, and</w:t>
      </w:r>
      <w:proofErr w:type="gramEnd"/>
      <w:r w:rsidR="004F7773">
        <w:rPr>
          <w:rFonts w:ascii="Times New Roman" w:hAnsi="Times New Roman" w:cs="Times New Roman"/>
          <w:sz w:val="24"/>
          <w:szCs w:val="24"/>
        </w:rPr>
        <w:t xml:space="preserve"> showed no signs of improvement in their scores.</w:t>
      </w:r>
    </w:p>
    <w:p w14:paraId="037F304D" w14:textId="799C5E05" w:rsidR="0082004C" w:rsidRDefault="0082004C" w:rsidP="0082004C">
      <w:pPr>
        <w:pStyle w:val="ListParagraph"/>
        <w:numPr>
          <w:ilvl w:val="0"/>
          <w:numId w:val="3"/>
        </w:numPr>
        <w:tabs>
          <w:tab w:val="left" w:pos="360"/>
        </w:tabs>
        <w:rPr>
          <w:rFonts w:ascii="Times New Roman" w:hAnsi="Times New Roman" w:cs="Times New Roman"/>
          <w:sz w:val="24"/>
          <w:szCs w:val="24"/>
        </w:rPr>
      </w:pPr>
      <w:r>
        <w:rPr>
          <w:rFonts w:ascii="Times New Roman" w:hAnsi="Times New Roman" w:cs="Times New Roman"/>
          <w:sz w:val="24"/>
          <w:szCs w:val="24"/>
        </w:rPr>
        <w:t>Assign tutoring activities for undergraduate courses to students who do not pass the MFT on their first trial.</w:t>
      </w:r>
      <w:r w:rsidR="004F7773">
        <w:rPr>
          <w:rFonts w:ascii="Times New Roman" w:hAnsi="Times New Roman" w:cs="Times New Roman"/>
          <w:sz w:val="24"/>
          <w:szCs w:val="24"/>
        </w:rPr>
        <w:t xml:space="preserve"> This is a long-standing recommendation which we are certain produces verifiable improvements in MFT/GRE performance, but the department has been denied permission to implement it.</w:t>
      </w:r>
      <w:r w:rsidR="007E6E71">
        <w:rPr>
          <w:rFonts w:ascii="Times New Roman" w:hAnsi="Times New Roman" w:cs="Times New Roman"/>
          <w:sz w:val="24"/>
          <w:szCs w:val="24"/>
        </w:rPr>
        <w:t xml:space="preserve"> The reason appears to be budgetary in nature</w:t>
      </w:r>
      <w:r w:rsidR="000F22D9">
        <w:rPr>
          <w:rFonts w:ascii="Times New Roman" w:hAnsi="Times New Roman" w:cs="Times New Roman"/>
          <w:sz w:val="24"/>
          <w:szCs w:val="24"/>
        </w:rPr>
        <w:t>, which seems curious given the CSU’s interest in student recruitment, retention, and success.</w:t>
      </w:r>
    </w:p>
    <w:p w14:paraId="416CBB16" w14:textId="3CEF38A7" w:rsidR="0082004C" w:rsidRDefault="00EA1D53" w:rsidP="0082004C">
      <w:pPr>
        <w:pStyle w:val="ListParagraph"/>
        <w:numPr>
          <w:ilvl w:val="0"/>
          <w:numId w:val="3"/>
        </w:numPr>
        <w:tabs>
          <w:tab w:val="left" w:pos="360"/>
        </w:tabs>
        <w:rPr>
          <w:rFonts w:ascii="Times New Roman" w:hAnsi="Times New Roman" w:cs="Times New Roman"/>
          <w:sz w:val="24"/>
          <w:szCs w:val="24"/>
        </w:rPr>
      </w:pPr>
      <w:r>
        <w:rPr>
          <w:rFonts w:ascii="Times New Roman" w:hAnsi="Times New Roman" w:cs="Times New Roman"/>
          <w:sz w:val="24"/>
          <w:szCs w:val="24"/>
        </w:rPr>
        <w:t xml:space="preserve">As per recommendations put forward in our previous report, we considered </w:t>
      </w:r>
      <w:r w:rsidR="0082004C">
        <w:rPr>
          <w:rFonts w:ascii="Times New Roman" w:hAnsi="Times New Roman" w:cs="Times New Roman"/>
          <w:sz w:val="24"/>
          <w:szCs w:val="24"/>
        </w:rPr>
        <w:t>the possibility of adding problem solving sessions to our graduate courses. This requires some care, since to make the proposal effective we would need to increase the units of a typical graduate course from 3 to 4, which would have numerous implications for the number of units of the graduate program as well as for faculty workload.</w:t>
      </w:r>
      <w:r>
        <w:rPr>
          <w:rFonts w:ascii="Times New Roman" w:hAnsi="Times New Roman" w:cs="Times New Roman"/>
          <w:sz w:val="24"/>
          <w:szCs w:val="24"/>
        </w:rPr>
        <w:t xml:space="preserve"> After multiple discussions within the department, we </w:t>
      </w:r>
      <w:r w:rsidR="00DB7FCC">
        <w:rPr>
          <w:rFonts w:ascii="Times New Roman" w:hAnsi="Times New Roman" w:cs="Times New Roman"/>
          <w:sz w:val="24"/>
          <w:szCs w:val="24"/>
        </w:rPr>
        <w:t>recently</w:t>
      </w:r>
      <w:r>
        <w:rPr>
          <w:rFonts w:ascii="Times New Roman" w:hAnsi="Times New Roman" w:cs="Times New Roman"/>
          <w:sz w:val="24"/>
          <w:szCs w:val="24"/>
        </w:rPr>
        <w:t xml:space="preserve"> submitted a Catalog change request </w:t>
      </w:r>
      <w:r w:rsidR="00DB7FCC">
        <w:rPr>
          <w:rFonts w:ascii="Times New Roman" w:hAnsi="Times New Roman" w:cs="Times New Roman"/>
          <w:sz w:val="24"/>
          <w:szCs w:val="24"/>
        </w:rPr>
        <w:t>that will make this idea a reality for some of our graduate courses.</w:t>
      </w:r>
    </w:p>
    <w:p w14:paraId="288F06F6" w14:textId="46D1788B" w:rsidR="00635531" w:rsidRPr="00567CB9" w:rsidRDefault="00DB7FCC" w:rsidP="00760FF7">
      <w:pPr>
        <w:pStyle w:val="ListParagraph"/>
        <w:numPr>
          <w:ilvl w:val="0"/>
          <w:numId w:val="3"/>
        </w:numPr>
        <w:tabs>
          <w:tab w:val="left" w:pos="360"/>
        </w:tabs>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in line with previous recommendations, we instituted </w:t>
      </w:r>
      <w:r w:rsidR="0082004C">
        <w:rPr>
          <w:rFonts w:ascii="Times New Roman" w:hAnsi="Times New Roman" w:cs="Times New Roman"/>
          <w:sz w:val="24"/>
          <w:szCs w:val="24"/>
        </w:rPr>
        <w:t>a policy limiting the number of times the department will pay for the cost of the MFT. Although we do not believe this to be a widespread issue, there is a possibility that some students may not be preparing for the test as conscientiously as they should.</w:t>
      </w:r>
    </w:p>
    <w:p w14:paraId="120AD5B3" w14:textId="77777777" w:rsidR="00760FF7" w:rsidRPr="00760FF7" w:rsidRDefault="00760FF7" w:rsidP="00760FF7">
      <w:pPr>
        <w:rPr>
          <w:rFonts w:ascii="Times New Roman" w:hAnsi="Times New Roman" w:cs="Times New Roman"/>
          <w:sz w:val="24"/>
          <w:szCs w:val="24"/>
        </w:rPr>
      </w:pPr>
    </w:p>
    <w:p w14:paraId="44B4EEB2"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2018-19</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461DD962" w14:textId="1E4EB0D7" w:rsidR="00635531" w:rsidRDefault="00567CB9" w:rsidP="00537498">
      <w:pPr>
        <w:ind w:left="720" w:hanging="360"/>
        <w:rPr>
          <w:rFonts w:ascii="Times New Roman" w:hAnsi="Times New Roman" w:cs="Times New Roman"/>
          <w:sz w:val="24"/>
          <w:szCs w:val="24"/>
        </w:rPr>
      </w:pPr>
      <w:r>
        <w:rPr>
          <w:rFonts w:ascii="Times New Roman" w:hAnsi="Times New Roman" w:cs="Times New Roman"/>
          <w:sz w:val="24"/>
          <w:szCs w:val="24"/>
        </w:rPr>
        <w:t>Please see B – E above.</w:t>
      </w:r>
    </w:p>
    <w:p w14:paraId="02296437" w14:textId="77777777" w:rsidR="00760FF7" w:rsidRPr="00760FF7" w:rsidRDefault="00760FF7" w:rsidP="00760FF7">
      <w:pPr>
        <w:rPr>
          <w:rFonts w:ascii="Times New Roman" w:hAnsi="Times New Roman" w:cs="Times New Roman"/>
          <w:sz w:val="24"/>
          <w:szCs w:val="24"/>
        </w:rPr>
      </w:pPr>
    </w:p>
    <w:p w14:paraId="08F63CC5"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2021-22</w:t>
      </w:r>
      <w:r>
        <w:rPr>
          <w:rFonts w:ascii="Times New Roman" w:hAnsi="Times New Roman" w:cs="Times New Roman"/>
          <w:sz w:val="24"/>
          <w:szCs w:val="24"/>
        </w:rPr>
        <w:t>?</w:t>
      </w:r>
    </w:p>
    <w:p w14:paraId="0F628386" w14:textId="77777777" w:rsidR="00537498" w:rsidRPr="008D3900" w:rsidRDefault="00537498" w:rsidP="00537498">
      <w:pPr>
        <w:pStyle w:val="NoSpacing"/>
        <w:ind w:left="360"/>
        <w:rPr>
          <w:rFonts w:ascii="Times New Roman" w:hAnsi="Times New Roman" w:cs="Times New Roman"/>
          <w:sz w:val="24"/>
          <w:szCs w:val="24"/>
        </w:rPr>
      </w:pPr>
      <w:r w:rsidRPr="008D3900">
        <w:rPr>
          <w:rFonts w:ascii="Times New Roman" w:hAnsi="Times New Roman" w:cs="Times New Roman"/>
          <w:sz w:val="24"/>
          <w:szCs w:val="24"/>
        </w:rPr>
        <w:t>In accordance with our timeline in the SOAP, we plan to assess outcomes 1.</w:t>
      </w:r>
      <w:r>
        <w:rPr>
          <w:rFonts w:ascii="Times New Roman" w:hAnsi="Times New Roman" w:cs="Times New Roman"/>
          <w:sz w:val="24"/>
          <w:szCs w:val="24"/>
        </w:rPr>
        <w:t xml:space="preserve">1, 1.2, 2.2, 2.3, 2.4, 3.2, and 3.3 </w:t>
      </w:r>
      <w:r w:rsidRPr="008D3900">
        <w:rPr>
          <w:rFonts w:ascii="Times New Roman" w:hAnsi="Times New Roman" w:cs="Times New Roman"/>
          <w:sz w:val="24"/>
          <w:szCs w:val="24"/>
        </w:rPr>
        <w:t xml:space="preserve">using </w:t>
      </w:r>
      <w:r>
        <w:rPr>
          <w:rFonts w:ascii="Times New Roman" w:hAnsi="Times New Roman" w:cs="Times New Roman"/>
          <w:sz w:val="24"/>
          <w:szCs w:val="24"/>
        </w:rPr>
        <w:t>Measure A2</w:t>
      </w:r>
      <w:r w:rsidRPr="008D3900">
        <w:rPr>
          <w:rFonts w:ascii="Times New Roman" w:hAnsi="Times New Roman" w:cs="Times New Roman"/>
          <w:sz w:val="24"/>
          <w:szCs w:val="24"/>
        </w:rPr>
        <w:t>:</w:t>
      </w:r>
    </w:p>
    <w:p w14:paraId="515C6D3E" w14:textId="77777777" w:rsidR="00537498" w:rsidRPr="008D3900" w:rsidRDefault="00537498" w:rsidP="00537498">
      <w:pPr>
        <w:pStyle w:val="NoSpacing"/>
        <w:ind w:left="720"/>
        <w:rPr>
          <w:rFonts w:ascii="Times New Roman" w:hAnsi="Times New Roman" w:cs="Times New Roman"/>
          <w:sz w:val="24"/>
          <w:szCs w:val="24"/>
        </w:rPr>
      </w:pPr>
    </w:p>
    <w:p w14:paraId="61D7BAE3" w14:textId="77777777" w:rsidR="00537498" w:rsidRPr="00A707CE" w:rsidRDefault="00537498" w:rsidP="00537498">
      <w:pPr>
        <w:pStyle w:val="NoSpacing"/>
        <w:ind w:left="720"/>
        <w:rPr>
          <w:rFonts w:ascii="Times New Roman" w:hAnsi="Times New Roman" w:cs="Times New Roman"/>
          <w:i/>
          <w:iCs/>
          <w:sz w:val="24"/>
          <w:szCs w:val="24"/>
        </w:rPr>
      </w:pPr>
      <w:r w:rsidRPr="00A707CE">
        <w:rPr>
          <w:rFonts w:ascii="Times New Roman" w:hAnsi="Times New Roman" w:cs="Times New Roman"/>
          <w:i/>
          <w:iCs/>
          <w:sz w:val="24"/>
          <w:szCs w:val="24"/>
        </w:rPr>
        <w:t>“Every other year the department assessment coordinator will collect all published papers with student co-authors, all projects (Phys 298) and Theses (Phys 299), and all student presentations given (departmental colloquia, regional, national, and/or international conferences). The department assessment coordinator will summarize the content of the student works (papers, projects, theses, talks) and will collect these together with the student works for the review committee.”</w:t>
      </w:r>
    </w:p>
    <w:p w14:paraId="2C298EBA" w14:textId="77777777" w:rsidR="00537498" w:rsidRPr="008D3900" w:rsidRDefault="00537498" w:rsidP="00537498">
      <w:pPr>
        <w:pStyle w:val="NoSpacing"/>
        <w:ind w:left="720"/>
        <w:rPr>
          <w:rFonts w:ascii="Times New Roman" w:hAnsi="Times New Roman" w:cs="Times New Roman"/>
          <w:sz w:val="24"/>
          <w:szCs w:val="24"/>
        </w:rPr>
      </w:pPr>
    </w:p>
    <w:p w14:paraId="2878873C" w14:textId="32E8C737" w:rsidR="0068467E" w:rsidRPr="00760FF7" w:rsidRDefault="00537498" w:rsidP="0068467E">
      <w:pPr>
        <w:pStyle w:val="NoSpacing"/>
        <w:spacing w:after="160"/>
        <w:ind w:left="720"/>
        <w:rPr>
          <w:rFonts w:ascii="Times New Roman" w:hAnsi="Times New Roman" w:cs="Times New Roman"/>
          <w:sz w:val="24"/>
          <w:szCs w:val="24"/>
        </w:rPr>
      </w:pPr>
      <w:r>
        <w:rPr>
          <w:rFonts w:ascii="Times New Roman" w:hAnsi="Times New Roman" w:cs="Times New Roman"/>
          <w:sz w:val="24"/>
          <w:szCs w:val="24"/>
        </w:rPr>
        <w:lastRenderedPageBreak/>
        <w:t xml:space="preserve">We will collect and analyze Phys 298 reports, Phys 299 theses, and published papers. These works will be scored following a department rubric developed a few years ago and modified recently. Student presentations will not be evaluated, because our </w:t>
      </w:r>
      <w:proofErr w:type="gramStart"/>
      <w:r>
        <w:rPr>
          <w:rFonts w:ascii="Times New Roman" w:hAnsi="Times New Roman" w:cs="Times New Roman"/>
          <w:sz w:val="24"/>
          <w:szCs w:val="24"/>
        </w:rPr>
        <w:t>past experience</w:t>
      </w:r>
      <w:proofErr w:type="gramEnd"/>
      <w:r>
        <w:rPr>
          <w:rFonts w:ascii="Times New Roman" w:hAnsi="Times New Roman" w:cs="Times New Roman"/>
          <w:sz w:val="24"/>
          <w:szCs w:val="24"/>
        </w:rPr>
        <w:t xml:space="preserve"> has revealed that while valuable in principle, student presentations at conferences are in practice very difficult to evaluate consistently by a committee.</w:t>
      </w:r>
    </w:p>
    <w:p w14:paraId="183A9AAA" w14:textId="77777777" w:rsidR="00760FF7" w:rsidRPr="00760FF7" w:rsidRDefault="00760FF7" w:rsidP="00760FF7">
      <w:pPr>
        <w:rPr>
          <w:rFonts w:ascii="Times New Roman" w:hAnsi="Times New Roman" w:cs="Times New Roman"/>
          <w:sz w:val="24"/>
          <w:szCs w:val="24"/>
        </w:rPr>
      </w:pPr>
    </w:p>
    <w:p w14:paraId="1B4C19B1" w14:textId="23DE5BF6"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247A9F52" w14:textId="0F3ED40D" w:rsidR="00537498" w:rsidRDefault="00537498" w:rsidP="00537498">
      <w:pPr>
        <w:pStyle w:val="ListParagraph"/>
        <w:rPr>
          <w:rFonts w:ascii="Times New Roman" w:hAnsi="Times New Roman" w:cs="Times New Roman"/>
          <w:sz w:val="24"/>
          <w:szCs w:val="24"/>
        </w:rPr>
      </w:pPr>
    </w:p>
    <w:p w14:paraId="2164E967" w14:textId="4BC89B0A" w:rsidR="00537498" w:rsidRPr="004D0FA1" w:rsidRDefault="00537498" w:rsidP="00537498">
      <w:pPr>
        <w:rPr>
          <w:rFonts w:ascii="Times New Roman" w:hAnsi="Times New Roman" w:cs="Times New Roman"/>
          <w:sz w:val="24"/>
          <w:szCs w:val="24"/>
        </w:rPr>
      </w:pPr>
      <w:r>
        <w:rPr>
          <w:rFonts w:ascii="Times New Roman" w:hAnsi="Times New Roman" w:cs="Times New Roman"/>
          <w:sz w:val="24"/>
          <w:szCs w:val="24"/>
        </w:rPr>
        <w:t>Issues identified during our last Program Review are reproduced below. Comments on our progress are included under each item.</w:t>
      </w:r>
    </w:p>
    <w:p w14:paraId="375AD289" w14:textId="77777777" w:rsidR="00537498" w:rsidRPr="0015326E" w:rsidRDefault="00537498" w:rsidP="00537498">
      <w:pPr>
        <w:pStyle w:val="ListParagraph"/>
        <w:ind w:left="360"/>
        <w:rPr>
          <w:rFonts w:ascii="Times New Roman" w:hAnsi="Times New Roman" w:cs="Times New Roman"/>
          <w:i/>
          <w:iCs/>
          <w:sz w:val="24"/>
          <w:szCs w:val="24"/>
        </w:rPr>
      </w:pPr>
      <w:r w:rsidRPr="0015326E">
        <w:rPr>
          <w:rFonts w:ascii="Times New Roman" w:hAnsi="Times New Roman" w:cs="Times New Roman"/>
          <w:i/>
          <w:iCs/>
          <w:sz w:val="24"/>
          <w:szCs w:val="24"/>
        </w:rPr>
        <w:t>A.</w:t>
      </w:r>
      <w:r w:rsidRPr="0015326E">
        <w:rPr>
          <w:rFonts w:ascii="Times New Roman" w:hAnsi="Times New Roman" w:cs="Times New Roman"/>
          <w:i/>
          <w:iCs/>
          <w:sz w:val="24"/>
          <w:szCs w:val="24"/>
        </w:rPr>
        <w:tab/>
        <w:t>Recommended Changes to Mission and Goals of the Program</w:t>
      </w:r>
    </w:p>
    <w:p w14:paraId="324B9B80" w14:textId="77777777" w:rsidR="00537498" w:rsidRPr="0015326E" w:rsidRDefault="00537498" w:rsidP="00537498">
      <w:pPr>
        <w:pStyle w:val="ListParagraph"/>
        <w:ind w:left="360"/>
        <w:rPr>
          <w:rFonts w:ascii="Times New Roman" w:hAnsi="Times New Roman" w:cs="Times New Roman"/>
          <w:i/>
          <w:iCs/>
          <w:sz w:val="24"/>
          <w:szCs w:val="24"/>
        </w:rPr>
      </w:pPr>
      <w:r w:rsidRPr="0015326E">
        <w:rPr>
          <w:rFonts w:ascii="Times New Roman" w:hAnsi="Times New Roman" w:cs="Times New Roman"/>
          <w:i/>
          <w:iCs/>
          <w:sz w:val="24"/>
          <w:szCs w:val="24"/>
        </w:rPr>
        <w:t>There are no recommended changes to the mission and goals of the program at this point.</w:t>
      </w:r>
    </w:p>
    <w:p w14:paraId="19994D27" w14:textId="77777777" w:rsidR="00537498" w:rsidRPr="0015326E" w:rsidRDefault="00537498" w:rsidP="00537498">
      <w:pPr>
        <w:pStyle w:val="ListParagraph"/>
        <w:ind w:left="360"/>
        <w:rPr>
          <w:rFonts w:ascii="Times New Roman" w:hAnsi="Times New Roman" w:cs="Times New Roman"/>
          <w:i/>
          <w:iCs/>
          <w:sz w:val="24"/>
          <w:szCs w:val="24"/>
        </w:rPr>
      </w:pPr>
      <w:r w:rsidRPr="0015326E">
        <w:rPr>
          <w:rFonts w:ascii="Times New Roman" w:hAnsi="Times New Roman" w:cs="Times New Roman"/>
          <w:i/>
          <w:iCs/>
          <w:sz w:val="24"/>
          <w:szCs w:val="24"/>
        </w:rPr>
        <w:t>B.</w:t>
      </w:r>
      <w:r w:rsidRPr="0015326E">
        <w:rPr>
          <w:rFonts w:ascii="Times New Roman" w:hAnsi="Times New Roman" w:cs="Times New Roman"/>
          <w:i/>
          <w:iCs/>
          <w:sz w:val="24"/>
          <w:szCs w:val="24"/>
        </w:rPr>
        <w:tab/>
        <w:t>Effectiveness of Instructional Program</w:t>
      </w:r>
    </w:p>
    <w:p w14:paraId="293187DE" w14:textId="77777777" w:rsidR="00537498" w:rsidRPr="0015326E" w:rsidRDefault="00537498" w:rsidP="00537498">
      <w:pPr>
        <w:pStyle w:val="ListParagraph"/>
        <w:ind w:left="360"/>
        <w:rPr>
          <w:rFonts w:ascii="Times New Roman" w:hAnsi="Times New Roman" w:cs="Times New Roman"/>
          <w:i/>
          <w:iCs/>
          <w:sz w:val="24"/>
          <w:szCs w:val="24"/>
        </w:rPr>
      </w:pPr>
      <w:r w:rsidRPr="0015326E">
        <w:rPr>
          <w:rFonts w:ascii="Times New Roman" w:hAnsi="Times New Roman" w:cs="Times New Roman"/>
          <w:i/>
          <w:iCs/>
          <w:sz w:val="24"/>
          <w:szCs w:val="24"/>
        </w:rPr>
        <w:t>1.</w:t>
      </w:r>
      <w:r w:rsidRPr="0015326E">
        <w:rPr>
          <w:rFonts w:ascii="Times New Roman" w:hAnsi="Times New Roman" w:cs="Times New Roman"/>
          <w:i/>
          <w:iCs/>
          <w:sz w:val="24"/>
          <w:szCs w:val="24"/>
        </w:rPr>
        <w:tab/>
        <w:t>Curriculum: The department would very much like to add numerical physics to its list of courses offered for the physics major as well as for the M.S. degree. This depends on securing a new hire position and being able to successfully do a search (see hiring plan in Appendix I1 and I2).</w:t>
      </w:r>
    </w:p>
    <w:p w14:paraId="6C361A0D" w14:textId="77777777" w:rsidR="00537498" w:rsidRDefault="00537498" w:rsidP="00537498">
      <w:pPr>
        <w:pStyle w:val="ListParagraph"/>
        <w:ind w:left="360"/>
        <w:rPr>
          <w:rFonts w:ascii="Times New Roman" w:hAnsi="Times New Roman" w:cs="Times New Roman"/>
          <w:sz w:val="24"/>
          <w:szCs w:val="24"/>
        </w:rPr>
      </w:pPr>
    </w:p>
    <w:p w14:paraId="72924CB8" w14:textId="76CAF5EE" w:rsidR="00537498" w:rsidRDefault="00537498" w:rsidP="0053749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Our search for a computational physicist resulted in the addition of Dr. Ettore Vitali to our faculty. He has already developed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courses in computational physics and statistical mechanics. </w:t>
      </w:r>
      <w:r w:rsidR="005E6356">
        <w:rPr>
          <w:rFonts w:ascii="Times New Roman" w:hAnsi="Times New Roman" w:cs="Times New Roman"/>
          <w:sz w:val="24"/>
          <w:szCs w:val="24"/>
        </w:rPr>
        <w:t>Dr. Vitali has closed a major gap in our curriculum that had persisted for too long</w:t>
      </w:r>
      <w:r>
        <w:rPr>
          <w:rFonts w:ascii="Times New Roman" w:hAnsi="Times New Roman" w:cs="Times New Roman"/>
          <w:sz w:val="24"/>
          <w:szCs w:val="24"/>
        </w:rPr>
        <w:t>.</w:t>
      </w:r>
      <w:r w:rsidR="005E6356">
        <w:rPr>
          <w:rFonts w:ascii="Times New Roman" w:hAnsi="Times New Roman" w:cs="Times New Roman"/>
          <w:sz w:val="24"/>
          <w:szCs w:val="24"/>
        </w:rPr>
        <w:t xml:space="preserve"> </w:t>
      </w:r>
    </w:p>
    <w:p w14:paraId="7196338A" w14:textId="77777777" w:rsidR="00537498" w:rsidRPr="00FF2037" w:rsidRDefault="00537498" w:rsidP="00537498">
      <w:pPr>
        <w:pStyle w:val="ListParagraph"/>
        <w:ind w:left="360"/>
        <w:rPr>
          <w:rFonts w:ascii="Times New Roman" w:hAnsi="Times New Roman" w:cs="Times New Roman"/>
          <w:sz w:val="24"/>
          <w:szCs w:val="24"/>
        </w:rPr>
      </w:pPr>
    </w:p>
    <w:p w14:paraId="2A442959" w14:textId="77777777" w:rsidR="00537498" w:rsidRPr="00D14358" w:rsidRDefault="00537498" w:rsidP="00537498">
      <w:pPr>
        <w:pStyle w:val="ListParagraph"/>
        <w:ind w:left="360"/>
        <w:rPr>
          <w:rFonts w:ascii="Times New Roman" w:hAnsi="Times New Roman" w:cs="Times New Roman"/>
          <w:i/>
          <w:iCs/>
          <w:sz w:val="24"/>
          <w:szCs w:val="24"/>
        </w:rPr>
      </w:pPr>
      <w:r w:rsidRPr="00D14358">
        <w:rPr>
          <w:rFonts w:ascii="Times New Roman" w:hAnsi="Times New Roman" w:cs="Times New Roman"/>
          <w:i/>
          <w:iCs/>
          <w:sz w:val="24"/>
          <w:szCs w:val="24"/>
        </w:rPr>
        <w:t>2.</w:t>
      </w:r>
      <w:r w:rsidRPr="00D14358">
        <w:rPr>
          <w:rFonts w:ascii="Times New Roman" w:hAnsi="Times New Roman" w:cs="Times New Roman"/>
          <w:i/>
          <w:iCs/>
          <w:sz w:val="24"/>
          <w:szCs w:val="24"/>
        </w:rPr>
        <w:tab/>
        <w:t xml:space="preserve">Recruitment, Retention, and Student Services: We anticipate </w:t>
      </w:r>
      <w:proofErr w:type="gramStart"/>
      <w:r w:rsidRPr="00D14358">
        <w:rPr>
          <w:rFonts w:ascii="Times New Roman" w:hAnsi="Times New Roman" w:cs="Times New Roman"/>
          <w:i/>
          <w:iCs/>
          <w:sz w:val="24"/>
          <w:szCs w:val="24"/>
        </w:rPr>
        <w:t>continuing on</w:t>
      </w:r>
      <w:proofErr w:type="gramEnd"/>
      <w:r w:rsidRPr="00D14358">
        <w:rPr>
          <w:rFonts w:ascii="Times New Roman" w:hAnsi="Times New Roman" w:cs="Times New Roman"/>
          <w:i/>
          <w:iCs/>
          <w:sz w:val="24"/>
          <w:szCs w:val="24"/>
        </w:rPr>
        <w:t xml:space="preserve"> with our successful outreach program and adding more student services such as increased tutoring hours, providing more recitation sections, more facilities for students to assemble and get to know each other. However, the operating budget of the department is stretched thin because of expenses such as additional student assistants, tutors, demo/lab assistant, etc., all expenses that should either come from the Dean’s office or allow for an increase in the budget to pay for such expenses.</w:t>
      </w:r>
    </w:p>
    <w:p w14:paraId="13F30AAF" w14:textId="77777777" w:rsidR="00537498" w:rsidRDefault="00537498" w:rsidP="00537498">
      <w:pPr>
        <w:pStyle w:val="ListParagraph"/>
        <w:ind w:left="360"/>
        <w:rPr>
          <w:rFonts w:ascii="Times New Roman" w:hAnsi="Times New Roman" w:cs="Times New Roman"/>
          <w:sz w:val="24"/>
          <w:szCs w:val="24"/>
        </w:rPr>
      </w:pPr>
    </w:p>
    <w:p w14:paraId="6DED9CC2" w14:textId="438C24C9" w:rsidR="00537498" w:rsidRDefault="00537498" w:rsidP="0053749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Almost all action plan items listed under #2 had to be postponed </w:t>
      </w:r>
      <w:proofErr w:type="gramStart"/>
      <w:r>
        <w:rPr>
          <w:rFonts w:ascii="Times New Roman" w:hAnsi="Times New Roman" w:cs="Times New Roman"/>
          <w:sz w:val="24"/>
          <w:szCs w:val="24"/>
        </w:rPr>
        <w:t>and</w:t>
      </w:r>
      <w:r w:rsidR="005E6356">
        <w:rPr>
          <w:rFonts w:ascii="Times New Roman" w:hAnsi="Times New Roman" w:cs="Times New Roman"/>
          <w:sz w:val="24"/>
          <w:szCs w:val="24"/>
        </w:rPr>
        <w:t>,</w:t>
      </w:r>
      <w:proofErr w:type="gramEnd"/>
      <w:r w:rsidR="005E6356">
        <w:rPr>
          <w:rFonts w:ascii="Times New Roman" w:hAnsi="Times New Roman" w:cs="Times New Roman"/>
          <w:sz w:val="24"/>
          <w:szCs w:val="24"/>
        </w:rPr>
        <w:t xml:space="preserve"> as anticipated in our previous report</w:t>
      </w:r>
      <w:r>
        <w:rPr>
          <w:rFonts w:ascii="Times New Roman" w:hAnsi="Times New Roman" w:cs="Times New Roman"/>
          <w:sz w:val="24"/>
          <w:szCs w:val="24"/>
        </w:rPr>
        <w:t>, ha</w:t>
      </w:r>
      <w:r w:rsidR="005E6356">
        <w:rPr>
          <w:rFonts w:ascii="Times New Roman" w:hAnsi="Times New Roman" w:cs="Times New Roman"/>
          <w:sz w:val="24"/>
          <w:szCs w:val="24"/>
        </w:rPr>
        <w:t>d</w:t>
      </w:r>
      <w:r>
        <w:rPr>
          <w:rFonts w:ascii="Times New Roman" w:hAnsi="Times New Roman" w:cs="Times New Roman"/>
          <w:sz w:val="24"/>
          <w:szCs w:val="24"/>
        </w:rPr>
        <w:t xml:space="preserve"> to be abandoned </w:t>
      </w:r>
      <w:r w:rsidR="005E6356">
        <w:rPr>
          <w:rFonts w:ascii="Times New Roman" w:hAnsi="Times New Roman" w:cs="Times New Roman"/>
          <w:sz w:val="24"/>
          <w:szCs w:val="24"/>
        </w:rPr>
        <w:t xml:space="preserve">almost </w:t>
      </w:r>
      <w:r w:rsidR="005E6356" w:rsidRPr="005E6356">
        <w:rPr>
          <w:rFonts w:ascii="Times New Roman" w:hAnsi="Times New Roman" w:cs="Times New Roman"/>
          <w:sz w:val="24"/>
          <w:szCs w:val="24"/>
        </w:rPr>
        <w:t>in its entirety</w:t>
      </w:r>
      <w:r>
        <w:rPr>
          <w:rFonts w:ascii="Times New Roman" w:hAnsi="Times New Roman" w:cs="Times New Roman"/>
          <w:sz w:val="24"/>
          <w:szCs w:val="24"/>
        </w:rPr>
        <w:t>. Our budget</w:t>
      </w:r>
      <w:r w:rsidR="005E6356">
        <w:rPr>
          <w:rFonts w:ascii="Times New Roman" w:hAnsi="Times New Roman" w:cs="Times New Roman"/>
          <w:sz w:val="24"/>
          <w:szCs w:val="24"/>
        </w:rPr>
        <w:t xml:space="preserve"> has been reduced (as a percentage of the CSM’s budget), our colloquium funding has been cut substantially, and Covid-19 has made</w:t>
      </w:r>
      <w:r w:rsidR="00AB23A3">
        <w:rPr>
          <w:rFonts w:ascii="Times New Roman" w:hAnsi="Times New Roman" w:cs="Times New Roman"/>
          <w:sz w:val="24"/>
          <w:szCs w:val="24"/>
        </w:rPr>
        <w:t xml:space="preserve"> recruitment</w:t>
      </w:r>
      <w:r w:rsidR="005E6356">
        <w:rPr>
          <w:rFonts w:ascii="Times New Roman" w:hAnsi="Times New Roman" w:cs="Times New Roman"/>
          <w:sz w:val="24"/>
          <w:szCs w:val="24"/>
        </w:rPr>
        <w:t xml:space="preserve"> trips by our faculty</w:t>
      </w:r>
      <w:r w:rsidR="00AB23A3">
        <w:rPr>
          <w:rFonts w:ascii="Times New Roman" w:hAnsi="Times New Roman" w:cs="Times New Roman"/>
          <w:sz w:val="24"/>
          <w:szCs w:val="24"/>
        </w:rPr>
        <w:t xml:space="preserve"> impossible for the moment.</w:t>
      </w:r>
      <w:r w:rsidR="005E6356">
        <w:rPr>
          <w:rFonts w:ascii="Times New Roman" w:hAnsi="Times New Roman" w:cs="Times New Roman"/>
          <w:sz w:val="24"/>
          <w:szCs w:val="24"/>
        </w:rPr>
        <w:t xml:space="preserve"> </w:t>
      </w:r>
      <w:r>
        <w:rPr>
          <w:rFonts w:ascii="Times New Roman" w:hAnsi="Times New Roman" w:cs="Times New Roman"/>
          <w:sz w:val="24"/>
          <w:szCs w:val="24"/>
        </w:rPr>
        <w:t xml:space="preserve"> Requests to continue our program of free tutoring by TAs for introductory courses have been denied, and we have neither funding nor space to hold recitation sections. The only item under #2 that survives is Don Williams’ outreach program, which thrives only because Don’s indefatigable efforts have secured a grant from Chevron.</w:t>
      </w:r>
    </w:p>
    <w:p w14:paraId="4FA3BFBA" w14:textId="77777777" w:rsidR="00537498" w:rsidRDefault="00537498" w:rsidP="00537498">
      <w:pPr>
        <w:pStyle w:val="ListParagraph"/>
        <w:ind w:left="360"/>
        <w:rPr>
          <w:rFonts w:ascii="Times New Roman" w:hAnsi="Times New Roman" w:cs="Times New Roman"/>
          <w:sz w:val="24"/>
          <w:szCs w:val="24"/>
        </w:rPr>
      </w:pPr>
    </w:p>
    <w:p w14:paraId="57FF2925" w14:textId="77777777" w:rsidR="00537498" w:rsidRPr="00FF2037" w:rsidRDefault="00537498" w:rsidP="00537498">
      <w:pPr>
        <w:pStyle w:val="ListParagraph"/>
        <w:ind w:left="360"/>
        <w:rPr>
          <w:rFonts w:ascii="Times New Roman" w:hAnsi="Times New Roman" w:cs="Times New Roman"/>
          <w:sz w:val="24"/>
          <w:szCs w:val="24"/>
        </w:rPr>
      </w:pPr>
      <w:r w:rsidRPr="00FF2037">
        <w:rPr>
          <w:rFonts w:ascii="Times New Roman" w:hAnsi="Times New Roman" w:cs="Times New Roman"/>
          <w:sz w:val="24"/>
          <w:szCs w:val="24"/>
        </w:rPr>
        <w:lastRenderedPageBreak/>
        <w:t>3.</w:t>
      </w:r>
      <w:r w:rsidRPr="00FF2037">
        <w:rPr>
          <w:rFonts w:ascii="Times New Roman" w:hAnsi="Times New Roman" w:cs="Times New Roman"/>
          <w:sz w:val="24"/>
          <w:szCs w:val="24"/>
        </w:rPr>
        <w:tab/>
      </w:r>
      <w:r w:rsidRPr="00181130">
        <w:rPr>
          <w:rFonts w:ascii="Times New Roman" w:hAnsi="Times New Roman" w:cs="Times New Roman"/>
          <w:i/>
          <w:iCs/>
          <w:sz w:val="24"/>
          <w:szCs w:val="24"/>
        </w:rPr>
        <w:t>Community Interactions (Professional, Disciplinary, and Industry/Regional): We plan to continue with our presence in the Valley as the source of expertise involving our specialties and hope to maintain an interactive and personal relationship through the Downing Planetarium and the outreach program with the residents, parents, and children in the area.</w:t>
      </w:r>
    </w:p>
    <w:p w14:paraId="72DA63D4" w14:textId="77777777" w:rsidR="00537498" w:rsidRDefault="00537498" w:rsidP="00537498">
      <w:pPr>
        <w:pStyle w:val="ListParagraph"/>
        <w:ind w:left="360"/>
        <w:rPr>
          <w:rFonts w:ascii="Times New Roman" w:hAnsi="Times New Roman" w:cs="Times New Roman"/>
          <w:sz w:val="24"/>
          <w:szCs w:val="24"/>
        </w:rPr>
      </w:pPr>
    </w:p>
    <w:p w14:paraId="3F34B1BA" w14:textId="77777777" w:rsidR="00537498" w:rsidRDefault="00537498" w:rsidP="00537498">
      <w:pPr>
        <w:pStyle w:val="ListParagraph"/>
        <w:ind w:left="360"/>
        <w:rPr>
          <w:rFonts w:ascii="Times New Roman" w:hAnsi="Times New Roman" w:cs="Times New Roman"/>
          <w:sz w:val="24"/>
          <w:szCs w:val="24"/>
        </w:rPr>
      </w:pPr>
      <w:r>
        <w:rPr>
          <w:rFonts w:ascii="Times New Roman" w:hAnsi="Times New Roman" w:cs="Times New Roman"/>
          <w:sz w:val="24"/>
          <w:szCs w:val="24"/>
        </w:rPr>
        <w:t>The Downing Planetarium and Museum are the pride of the Department of Physics. Probably close to a million visitors have attended shows at the facilities near Science II since the opening of the Planetarium. Its impact on Central Valley residents is vast, and inextricably linked to the tireless dedication of Steve and Kathy White.</w:t>
      </w:r>
    </w:p>
    <w:p w14:paraId="63931432" w14:textId="77777777" w:rsidR="00537498" w:rsidRPr="00FF2037" w:rsidRDefault="00537498" w:rsidP="0053749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14:paraId="1C7AA406" w14:textId="77777777" w:rsidR="00537498" w:rsidRPr="009C539B" w:rsidRDefault="00537498" w:rsidP="00537498">
      <w:pPr>
        <w:pStyle w:val="ListParagraph"/>
        <w:ind w:left="360"/>
        <w:rPr>
          <w:rFonts w:ascii="Times New Roman" w:hAnsi="Times New Roman" w:cs="Times New Roman"/>
          <w:i/>
          <w:iCs/>
          <w:sz w:val="24"/>
          <w:szCs w:val="24"/>
        </w:rPr>
      </w:pPr>
      <w:r w:rsidRPr="009C539B">
        <w:rPr>
          <w:rFonts w:ascii="Times New Roman" w:hAnsi="Times New Roman" w:cs="Times New Roman"/>
          <w:i/>
          <w:iCs/>
          <w:sz w:val="24"/>
          <w:szCs w:val="24"/>
        </w:rPr>
        <w:t>C.</w:t>
      </w:r>
      <w:r w:rsidRPr="009C539B">
        <w:rPr>
          <w:rFonts w:ascii="Times New Roman" w:hAnsi="Times New Roman" w:cs="Times New Roman"/>
          <w:i/>
          <w:iCs/>
          <w:sz w:val="24"/>
          <w:szCs w:val="24"/>
        </w:rPr>
        <w:tab/>
        <w:t>Resources</w:t>
      </w:r>
    </w:p>
    <w:p w14:paraId="27F33633" w14:textId="77777777" w:rsidR="00537498" w:rsidRDefault="00537498" w:rsidP="00537498">
      <w:pPr>
        <w:pStyle w:val="ListParagraph"/>
        <w:ind w:left="360"/>
        <w:rPr>
          <w:rFonts w:ascii="Times New Roman" w:hAnsi="Times New Roman" w:cs="Times New Roman"/>
          <w:sz w:val="24"/>
          <w:szCs w:val="24"/>
        </w:rPr>
      </w:pPr>
      <w:r w:rsidRPr="009C539B">
        <w:rPr>
          <w:rFonts w:ascii="Times New Roman" w:hAnsi="Times New Roman" w:cs="Times New Roman"/>
          <w:i/>
          <w:iCs/>
          <w:sz w:val="24"/>
          <w:szCs w:val="24"/>
        </w:rPr>
        <w:t>1.</w:t>
      </w:r>
      <w:r w:rsidRPr="009C539B">
        <w:rPr>
          <w:rFonts w:ascii="Times New Roman" w:hAnsi="Times New Roman" w:cs="Times New Roman"/>
          <w:i/>
          <w:iCs/>
          <w:sz w:val="24"/>
          <w:szCs w:val="24"/>
        </w:rPr>
        <w:tab/>
        <w:t xml:space="preserve">Financial/Budgetary: As explained above, the department is in dire need of getting the former half-time DAA position restored. There are several occasions during the week when there is no coverage if the student assistant is unable to come and the office </w:t>
      </w:r>
      <w:proofErr w:type="gramStart"/>
      <w:r w:rsidRPr="009C539B">
        <w:rPr>
          <w:rFonts w:ascii="Times New Roman" w:hAnsi="Times New Roman" w:cs="Times New Roman"/>
          <w:i/>
          <w:iCs/>
          <w:sz w:val="24"/>
          <w:szCs w:val="24"/>
        </w:rPr>
        <w:t>has to</w:t>
      </w:r>
      <w:proofErr w:type="gramEnd"/>
      <w:r w:rsidRPr="009C539B">
        <w:rPr>
          <w:rFonts w:ascii="Times New Roman" w:hAnsi="Times New Roman" w:cs="Times New Roman"/>
          <w:i/>
          <w:iCs/>
          <w:sz w:val="24"/>
          <w:szCs w:val="24"/>
        </w:rPr>
        <w:t xml:space="preserve"> be closed. This situation is not quite helpful for public relations</w:t>
      </w:r>
      <w:r w:rsidRPr="00FF2037">
        <w:rPr>
          <w:rFonts w:ascii="Times New Roman" w:hAnsi="Times New Roman" w:cs="Times New Roman"/>
          <w:sz w:val="24"/>
          <w:szCs w:val="24"/>
        </w:rPr>
        <w:t>.</w:t>
      </w:r>
    </w:p>
    <w:p w14:paraId="387308F6" w14:textId="77777777" w:rsidR="00537498" w:rsidRDefault="00537498" w:rsidP="00537498">
      <w:pPr>
        <w:pStyle w:val="ListParagraph"/>
        <w:ind w:left="360"/>
        <w:rPr>
          <w:rFonts w:ascii="Times New Roman" w:hAnsi="Times New Roman" w:cs="Times New Roman"/>
          <w:sz w:val="24"/>
          <w:szCs w:val="24"/>
        </w:rPr>
      </w:pPr>
    </w:p>
    <w:p w14:paraId="302B9551" w14:textId="4F0B5246" w:rsidR="00537498" w:rsidRDefault="00537498" w:rsidP="00537498">
      <w:pPr>
        <w:pStyle w:val="ListParagraph"/>
        <w:ind w:left="360"/>
        <w:rPr>
          <w:rFonts w:ascii="Times New Roman" w:hAnsi="Times New Roman" w:cs="Times New Roman"/>
          <w:sz w:val="24"/>
          <w:szCs w:val="24"/>
        </w:rPr>
      </w:pPr>
      <w:r>
        <w:rPr>
          <w:rFonts w:ascii="Times New Roman" w:hAnsi="Times New Roman" w:cs="Times New Roman"/>
          <w:sz w:val="24"/>
          <w:szCs w:val="24"/>
        </w:rPr>
        <w:t>We have one DAA and one student assistant.</w:t>
      </w:r>
      <w:r w:rsidR="00AB23A3">
        <w:rPr>
          <w:rFonts w:ascii="Times New Roman" w:hAnsi="Times New Roman" w:cs="Times New Roman"/>
          <w:sz w:val="24"/>
          <w:szCs w:val="24"/>
        </w:rPr>
        <w:t xml:space="preserve"> Not much has changed unfortunately, but this is completely out of our hands.</w:t>
      </w:r>
    </w:p>
    <w:p w14:paraId="130C1700" w14:textId="77777777" w:rsidR="00537498" w:rsidRPr="00FF2037" w:rsidRDefault="00537498" w:rsidP="00537498">
      <w:pPr>
        <w:pStyle w:val="ListParagraph"/>
        <w:ind w:left="360"/>
        <w:rPr>
          <w:rFonts w:ascii="Times New Roman" w:hAnsi="Times New Roman" w:cs="Times New Roman"/>
          <w:sz w:val="24"/>
          <w:szCs w:val="24"/>
        </w:rPr>
      </w:pPr>
    </w:p>
    <w:p w14:paraId="51DB14EB" w14:textId="77777777" w:rsidR="00537498" w:rsidRPr="00AB281A" w:rsidRDefault="00537498" w:rsidP="00537498">
      <w:pPr>
        <w:pStyle w:val="ListParagraph"/>
        <w:ind w:left="360"/>
        <w:rPr>
          <w:rFonts w:ascii="Times New Roman" w:hAnsi="Times New Roman" w:cs="Times New Roman"/>
          <w:i/>
          <w:iCs/>
          <w:sz w:val="24"/>
          <w:szCs w:val="24"/>
        </w:rPr>
      </w:pPr>
      <w:r w:rsidRPr="00AB281A">
        <w:rPr>
          <w:rFonts w:ascii="Times New Roman" w:hAnsi="Times New Roman" w:cs="Times New Roman"/>
          <w:i/>
          <w:iCs/>
          <w:sz w:val="24"/>
          <w:szCs w:val="24"/>
        </w:rPr>
        <w:t xml:space="preserve">2. </w:t>
      </w:r>
      <w:r w:rsidRPr="00AB281A">
        <w:rPr>
          <w:rFonts w:ascii="Times New Roman" w:hAnsi="Times New Roman" w:cs="Times New Roman"/>
          <w:i/>
          <w:iCs/>
          <w:sz w:val="24"/>
          <w:szCs w:val="24"/>
        </w:rPr>
        <w:tab/>
        <w:t>Faculty/Staff: As explained in detail above, a hiring plan for new faculty along with a five- year strategic hiring plan has been turned into the CSM (see Appendices I1 and I2). In addition, as part of an internal reflection process, the faculty also came up with a funding priority document to assist the development director in securing possible endowments for the department so that it is not as vulnerable to changes at the administrative level as evidenced in the last few years (see Appendix I5).</w:t>
      </w:r>
    </w:p>
    <w:p w14:paraId="5CBE64DE" w14:textId="77777777" w:rsidR="00537498" w:rsidRDefault="00537498" w:rsidP="00537498">
      <w:pPr>
        <w:pStyle w:val="ListParagraph"/>
        <w:ind w:left="360"/>
        <w:rPr>
          <w:rFonts w:ascii="Times New Roman" w:hAnsi="Times New Roman" w:cs="Times New Roman"/>
          <w:sz w:val="24"/>
          <w:szCs w:val="24"/>
        </w:rPr>
      </w:pPr>
    </w:p>
    <w:p w14:paraId="0F308F43" w14:textId="6363405B" w:rsidR="00537498" w:rsidRDefault="00537498" w:rsidP="0053749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In the last few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we have lost three faculty members to retirement. We have been allowed to hire one new tenure-track faculty member, Dr. Ettore Vitali.</w:t>
      </w:r>
      <w:r w:rsidR="00AB23A3">
        <w:rPr>
          <w:rFonts w:ascii="Times New Roman" w:hAnsi="Times New Roman" w:cs="Times New Roman"/>
          <w:sz w:val="24"/>
          <w:szCs w:val="24"/>
        </w:rPr>
        <w:t xml:space="preserve"> We have also recently seen the departure of some of our most hard-working lecturers</w:t>
      </w:r>
    </w:p>
    <w:p w14:paraId="54F4C56B" w14:textId="77777777" w:rsidR="00537498" w:rsidRPr="00FF2037" w:rsidRDefault="00537498" w:rsidP="00537498">
      <w:pPr>
        <w:pStyle w:val="ListParagraph"/>
        <w:ind w:left="360"/>
        <w:rPr>
          <w:rFonts w:ascii="Times New Roman" w:hAnsi="Times New Roman" w:cs="Times New Roman"/>
          <w:sz w:val="24"/>
          <w:szCs w:val="24"/>
        </w:rPr>
      </w:pPr>
    </w:p>
    <w:p w14:paraId="4D469008" w14:textId="77777777" w:rsidR="00537498" w:rsidRPr="00AC01E9" w:rsidRDefault="00537498" w:rsidP="00537498">
      <w:pPr>
        <w:pStyle w:val="ListParagraph"/>
        <w:ind w:left="360"/>
        <w:rPr>
          <w:rFonts w:ascii="Times New Roman" w:hAnsi="Times New Roman" w:cs="Times New Roman"/>
          <w:i/>
          <w:iCs/>
          <w:sz w:val="24"/>
          <w:szCs w:val="24"/>
        </w:rPr>
      </w:pPr>
      <w:r w:rsidRPr="00AC01E9">
        <w:rPr>
          <w:rFonts w:ascii="Times New Roman" w:hAnsi="Times New Roman" w:cs="Times New Roman"/>
          <w:i/>
          <w:iCs/>
          <w:sz w:val="24"/>
          <w:szCs w:val="24"/>
        </w:rPr>
        <w:t xml:space="preserve">3. </w:t>
      </w:r>
      <w:r w:rsidRPr="00AC01E9">
        <w:rPr>
          <w:rFonts w:ascii="Times New Roman" w:hAnsi="Times New Roman" w:cs="Times New Roman"/>
          <w:i/>
          <w:iCs/>
          <w:sz w:val="24"/>
          <w:szCs w:val="24"/>
        </w:rPr>
        <w:tab/>
        <w:t>Other: It has been commented upon in previous program reviews that our department is in different buildings around the campus. The main office and most of the classrooms along with a few faculty offices are in the main McLane building whereas some faculty offices are in the J Wing of McLane Hall and the biomedical physics faculty offices and classrooms are in Science II Building. While there is no immediate solution to bringing all the department faculty offices under one roof, this is perhaps, something to keep on the radar for future construction projects. Also of major importance to our graduate program is the need for additional space where faculty can meet and work with their project/thesis students.</w:t>
      </w:r>
    </w:p>
    <w:p w14:paraId="27106DE8" w14:textId="77777777" w:rsidR="00537498" w:rsidRDefault="00537498" w:rsidP="00537498">
      <w:pPr>
        <w:pStyle w:val="ListParagraph"/>
        <w:ind w:left="360"/>
        <w:rPr>
          <w:rFonts w:ascii="Times New Roman" w:hAnsi="Times New Roman" w:cs="Times New Roman"/>
          <w:sz w:val="24"/>
          <w:szCs w:val="24"/>
        </w:rPr>
      </w:pPr>
    </w:p>
    <w:p w14:paraId="3C551F72" w14:textId="77777777" w:rsidR="00537498" w:rsidRPr="004D0FA1" w:rsidRDefault="00537498" w:rsidP="00537498">
      <w:pPr>
        <w:pStyle w:val="ListParagraph"/>
        <w:ind w:left="360"/>
        <w:rPr>
          <w:rFonts w:ascii="Times New Roman" w:hAnsi="Times New Roman" w:cs="Times New Roman"/>
          <w:sz w:val="24"/>
          <w:szCs w:val="24"/>
        </w:rPr>
      </w:pPr>
      <w:r>
        <w:rPr>
          <w:rFonts w:ascii="Times New Roman" w:hAnsi="Times New Roman" w:cs="Times New Roman"/>
          <w:sz w:val="24"/>
          <w:szCs w:val="24"/>
        </w:rPr>
        <w:t>Given the current level of support from the university and the college, we see no hope that any of these goals will be realized any time soon.</w:t>
      </w:r>
    </w:p>
    <w:p w14:paraId="7859A03B" w14:textId="77777777" w:rsidR="00537498" w:rsidRPr="00F6446F" w:rsidRDefault="00537498" w:rsidP="00537498">
      <w:pPr>
        <w:pStyle w:val="ListParagraph"/>
        <w:rPr>
          <w:rFonts w:ascii="Times New Roman" w:hAnsi="Times New Roman" w:cs="Times New Roman"/>
          <w:sz w:val="24"/>
          <w:szCs w:val="24"/>
        </w:rPr>
      </w:pPr>
    </w:p>
    <w:sectPr w:rsidR="00537498" w:rsidRPr="00F64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114"/>
    <w:multiLevelType w:val="multilevel"/>
    <w:tmpl w:val="CBF03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F48E1"/>
    <w:multiLevelType w:val="hybridMultilevel"/>
    <w:tmpl w:val="32B22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884017">
    <w:abstractNumId w:val="1"/>
  </w:num>
  <w:num w:numId="2" w16cid:durableId="297804565">
    <w:abstractNumId w:val="0"/>
  </w:num>
  <w:num w:numId="3" w16cid:durableId="1568758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A2350"/>
    <w:rsid w:val="000B7954"/>
    <w:rsid w:val="000F22D9"/>
    <w:rsid w:val="00177512"/>
    <w:rsid w:val="001907E9"/>
    <w:rsid w:val="001D562D"/>
    <w:rsid w:val="002D2AA1"/>
    <w:rsid w:val="002F0A0F"/>
    <w:rsid w:val="003339CE"/>
    <w:rsid w:val="0040569B"/>
    <w:rsid w:val="00410C5C"/>
    <w:rsid w:val="00445C6C"/>
    <w:rsid w:val="004577F7"/>
    <w:rsid w:val="004F7773"/>
    <w:rsid w:val="00537498"/>
    <w:rsid w:val="00537657"/>
    <w:rsid w:val="00567CB9"/>
    <w:rsid w:val="005E6356"/>
    <w:rsid w:val="00635531"/>
    <w:rsid w:val="006464C6"/>
    <w:rsid w:val="0068467E"/>
    <w:rsid w:val="006A40BE"/>
    <w:rsid w:val="0074718C"/>
    <w:rsid w:val="00760FF7"/>
    <w:rsid w:val="00774053"/>
    <w:rsid w:val="0079041A"/>
    <w:rsid w:val="007C7C37"/>
    <w:rsid w:val="007D16E5"/>
    <w:rsid w:val="007E6E18"/>
    <w:rsid w:val="007E6E71"/>
    <w:rsid w:val="0082004C"/>
    <w:rsid w:val="00822023"/>
    <w:rsid w:val="00882B80"/>
    <w:rsid w:val="00922D75"/>
    <w:rsid w:val="009C473D"/>
    <w:rsid w:val="009E7370"/>
    <w:rsid w:val="00A02CA0"/>
    <w:rsid w:val="00A210BF"/>
    <w:rsid w:val="00A81D7B"/>
    <w:rsid w:val="00AB23A3"/>
    <w:rsid w:val="00AE0D66"/>
    <w:rsid w:val="00AE630B"/>
    <w:rsid w:val="00AF2A95"/>
    <w:rsid w:val="00B70748"/>
    <w:rsid w:val="00C97434"/>
    <w:rsid w:val="00CD137B"/>
    <w:rsid w:val="00D071CB"/>
    <w:rsid w:val="00DB7FCC"/>
    <w:rsid w:val="00E259DE"/>
    <w:rsid w:val="00E301CD"/>
    <w:rsid w:val="00E56C83"/>
    <w:rsid w:val="00E94602"/>
    <w:rsid w:val="00EA1D53"/>
    <w:rsid w:val="00F57C7B"/>
    <w:rsid w:val="00F6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C314"/>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NoSpacing">
    <w:name w:val="No Spacing"/>
    <w:uiPriority w:val="1"/>
    <w:qFormat/>
    <w:rsid w:val="001D562D"/>
    <w:pPr>
      <w:spacing w:after="0" w:line="240" w:lineRule="auto"/>
    </w:pPr>
    <w:rPr>
      <w:rFonts w:eastAsiaTheme="minorEastAsia"/>
      <w:lang w:eastAsia="zh-CN"/>
    </w:rPr>
  </w:style>
  <w:style w:type="table" w:styleId="TableGrid">
    <w:name w:val="Table Grid"/>
    <w:basedOn w:val="TableNormal"/>
    <w:uiPriority w:val="39"/>
    <w:rsid w:val="009E7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6803">
      <w:bodyDiv w:val="1"/>
      <w:marLeft w:val="0"/>
      <w:marRight w:val="0"/>
      <w:marTop w:val="0"/>
      <w:marBottom w:val="0"/>
      <w:divBdr>
        <w:top w:val="none" w:sz="0" w:space="0" w:color="auto"/>
        <w:left w:val="none" w:sz="0" w:space="0" w:color="auto"/>
        <w:bottom w:val="none" w:sz="0" w:space="0" w:color="auto"/>
        <w:right w:val="none" w:sz="0" w:space="0" w:color="auto"/>
      </w:divBdr>
    </w:div>
    <w:div w:id="164823904">
      <w:bodyDiv w:val="1"/>
      <w:marLeft w:val="0"/>
      <w:marRight w:val="0"/>
      <w:marTop w:val="0"/>
      <w:marBottom w:val="0"/>
      <w:divBdr>
        <w:top w:val="none" w:sz="0" w:space="0" w:color="auto"/>
        <w:left w:val="none" w:sz="0" w:space="0" w:color="auto"/>
        <w:bottom w:val="none" w:sz="0" w:space="0" w:color="auto"/>
        <w:right w:val="none" w:sz="0" w:space="0" w:color="auto"/>
      </w:divBdr>
    </w:div>
    <w:div w:id="512765180">
      <w:bodyDiv w:val="1"/>
      <w:marLeft w:val="0"/>
      <w:marRight w:val="0"/>
      <w:marTop w:val="0"/>
      <w:marBottom w:val="0"/>
      <w:divBdr>
        <w:top w:val="none" w:sz="0" w:space="0" w:color="auto"/>
        <w:left w:val="none" w:sz="0" w:space="0" w:color="auto"/>
        <w:bottom w:val="none" w:sz="0" w:space="0" w:color="auto"/>
        <w:right w:val="none" w:sz="0" w:space="0" w:color="auto"/>
      </w:divBdr>
    </w:div>
    <w:div w:id="704985384">
      <w:bodyDiv w:val="1"/>
      <w:marLeft w:val="0"/>
      <w:marRight w:val="0"/>
      <w:marTop w:val="0"/>
      <w:marBottom w:val="0"/>
      <w:divBdr>
        <w:top w:val="none" w:sz="0" w:space="0" w:color="auto"/>
        <w:left w:val="none" w:sz="0" w:space="0" w:color="auto"/>
        <w:bottom w:val="none" w:sz="0" w:space="0" w:color="auto"/>
        <w:right w:val="none" w:sz="0" w:space="0" w:color="auto"/>
      </w:divBdr>
    </w:div>
    <w:div w:id="875581110">
      <w:bodyDiv w:val="1"/>
      <w:marLeft w:val="0"/>
      <w:marRight w:val="0"/>
      <w:marTop w:val="0"/>
      <w:marBottom w:val="0"/>
      <w:divBdr>
        <w:top w:val="none" w:sz="0" w:space="0" w:color="auto"/>
        <w:left w:val="none" w:sz="0" w:space="0" w:color="auto"/>
        <w:bottom w:val="none" w:sz="0" w:space="0" w:color="auto"/>
        <w:right w:val="none" w:sz="0" w:space="0" w:color="auto"/>
      </w:divBdr>
    </w:div>
    <w:div w:id="1114472194">
      <w:bodyDiv w:val="1"/>
      <w:marLeft w:val="0"/>
      <w:marRight w:val="0"/>
      <w:marTop w:val="0"/>
      <w:marBottom w:val="0"/>
      <w:divBdr>
        <w:top w:val="none" w:sz="0" w:space="0" w:color="auto"/>
        <w:left w:val="none" w:sz="0" w:space="0" w:color="auto"/>
        <w:bottom w:val="none" w:sz="0" w:space="0" w:color="auto"/>
        <w:right w:val="none" w:sz="0" w:space="0" w:color="auto"/>
      </w:divBdr>
    </w:div>
    <w:div w:id="1725565839">
      <w:bodyDiv w:val="1"/>
      <w:marLeft w:val="0"/>
      <w:marRight w:val="0"/>
      <w:marTop w:val="0"/>
      <w:marBottom w:val="0"/>
      <w:divBdr>
        <w:top w:val="none" w:sz="0" w:space="0" w:color="auto"/>
        <w:left w:val="none" w:sz="0" w:space="0" w:color="auto"/>
        <w:bottom w:val="none" w:sz="0" w:space="0" w:color="auto"/>
        <w:right w:val="none" w:sz="0" w:space="0" w:color="auto"/>
      </w:divBdr>
    </w:div>
    <w:div w:id="17616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2022-09-22T16:34:00Z</dcterms:created>
  <dcterms:modified xsi:type="dcterms:W3CDTF">2022-09-22T16:34:00Z</dcterms:modified>
</cp:coreProperties>
</file>