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9FD" w:rsidRDefault="00030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87"/>
        <w:rPr>
          <w:rFonts w:ascii="Times" w:eastAsia="Times" w:hAnsi="Times" w:cs="Times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Times" w:eastAsia="Times" w:hAnsi="Times" w:cs="Times"/>
          <w:b/>
          <w:color w:val="000000"/>
          <w:sz w:val="32"/>
          <w:szCs w:val="32"/>
        </w:rPr>
        <w:t xml:space="preserve">Annual Assessment Report for 2018-2019 AY </w:t>
      </w:r>
    </w:p>
    <w:p w:rsidR="006A79FD" w:rsidRDefault="000300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9" w:lineRule="auto"/>
        <w:ind w:left="7" w:right="1211" w:hanging="7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Reports completed on assessment activities carried out during the 2018-2019 AY will be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due  September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30</w:t>
      </w:r>
      <w:r>
        <w:rPr>
          <w:rFonts w:ascii="Times" w:eastAsia="Times" w:hAnsi="Times" w:cs="Times"/>
          <w:color w:val="000000"/>
          <w:sz w:val="13"/>
          <w:szCs w:val="13"/>
          <w:vertAlign w:val="superscript"/>
        </w:rPr>
        <w:t xml:space="preserve">th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2019 and must be e-mailed to the Director of Assessment, Dr. Melissa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Jordine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 (mjordine@mail.fresnostate.edu). </w:t>
      </w:r>
    </w:p>
    <w:p w:rsidR="006A79FD" w:rsidRDefault="000300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49" w:lineRule="auto"/>
        <w:ind w:left="1" w:right="83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Provide detailed responses for each of the following questions within this word document.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Please  do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NOT insert an index or add formatting. Furt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hermore, only report on two or three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student  learning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outcomes even if your external accreditor requires you to evaluate four or more  outcomes each year.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Also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be sure to explain or omit specialized or discipline-specific terms.  </w:t>
      </w:r>
    </w:p>
    <w:p w:rsidR="006A79FD" w:rsidRDefault="000300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" w:line="383" w:lineRule="auto"/>
        <w:ind w:left="1" w:right="173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Department/Program: __</w:t>
      </w:r>
      <w:r>
        <w:rPr>
          <w:rFonts w:ascii="Times" w:eastAsia="Times" w:hAnsi="Times" w:cs="Times"/>
          <w:color w:val="000000"/>
          <w:sz w:val="24"/>
          <w:szCs w:val="24"/>
          <w:u w:val="single"/>
        </w:rPr>
        <w:t>Linguistics__</w:t>
      </w:r>
      <w:r>
        <w:rPr>
          <w:rFonts w:ascii="Times" w:eastAsia="Times" w:hAnsi="Times" w:cs="Times"/>
          <w:color w:val="000000"/>
          <w:sz w:val="24"/>
          <w:szCs w:val="24"/>
        </w:rPr>
        <w:t>_______________________ Degree _</w:t>
      </w:r>
      <w:r>
        <w:rPr>
          <w:rFonts w:ascii="Times" w:eastAsia="Times" w:hAnsi="Times" w:cs="Times"/>
          <w:color w:val="000000"/>
          <w:sz w:val="24"/>
          <w:szCs w:val="24"/>
          <w:u w:val="single"/>
        </w:rPr>
        <w:t>MA_</w:t>
      </w:r>
      <w:r>
        <w:rPr>
          <w:rFonts w:ascii="Times" w:eastAsia="Times" w:hAnsi="Times" w:cs="Times"/>
          <w:color w:val="000000"/>
          <w:sz w:val="24"/>
          <w:szCs w:val="24"/>
        </w:rPr>
        <w:t>___ Assessment Coordinator: __</w:t>
      </w:r>
      <w:r>
        <w:rPr>
          <w:rFonts w:ascii="Times" w:eastAsia="Times" w:hAnsi="Times" w:cs="Times"/>
          <w:color w:val="000000"/>
          <w:sz w:val="24"/>
          <w:szCs w:val="24"/>
          <w:u w:val="single"/>
        </w:rPr>
        <w:t xml:space="preserve">Dr. </w:t>
      </w:r>
      <w:proofErr w:type="spellStart"/>
      <w:r>
        <w:rPr>
          <w:rFonts w:ascii="Times" w:eastAsia="Times" w:hAnsi="Times" w:cs="Times"/>
          <w:color w:val="000000"/>
          <w:sz w:val="24"/>
          <w:szCs w:val="24"/>
          <w:u w:val="single"/>
        </w:rPr>
        <w:t>Jidong</w:t>
      </w:r>
      <w:proofErr w:type="spellEnd"/>
      <w:r>
        <w:rPr>
          <w:rFonts w:ascii="Times" w:eastAsia="Times" w:hAnsi="Times" w:cs="Times"/>
          <w:color w:val="000000"/>
          <w:sz w:val="24"/>
          <w:szCs w:val="24"/>
          <w:u w:val="single"/>
        </w:rPr>
        <w:t xml:space="preserve"> Chen_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__________________________________ </w:t>
      </w:r>
    </w:p>
    <w:p w:rsidR="006A79FD" w:rsidRDefault="000300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2" w:line="240" w:lineRule="auto"/>
        <w:ind w:left="384"/>
        <w:rPr>
          <w:rFonts w:ascii="Times" w:eastAsia="Times" w:hAnsi="Times" w:cs="Times"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1. Please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list the learning outcomes you assessed this year. </w:t>
      </w:r>
    </w:p>
    <w:p w:rsidR="006A79FD" w:rsidRDefault="000300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line="247" w:lineRule="auto"/>
        <w:ind w:left="727" w:right="976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SLO goal 4: Ability to carry out curriculum preparation in TESL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(Teaching English as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a  Second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Language). </w:t>
      </w:r>
    </w:p>
    <w:p w:rsidR="006A79FD" w:rsidRDefault="000300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9" w:lineRule="auto"/>
        <w:ind w:left="361" w:right="909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2. </w:t>
      </w:r>
      <w:r>
        <w:rPr>
          <w:rFonts w:ascii="Times" w:eastAsia="Times" w:hAnsi="Times" w:cs="Times"/>
          <w:color w:val="000000"/>
          <w:sz w:val="24"/>
          <w:szCs w:val="24"/>
        </w:rPr>
        <w:t>What assignment or survey did you use to assess the outcomes and what method (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criteria  or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rubric) did you use to evaluate the assignment? 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Please describe the assignment </w:t>
      </w:r>
      <w:proofErr w:type="gramStart"/>
      <w:r>
        <w:rPr>
          <w:rFonts w:ascii="Times" w:eastAsia="Times" w:hAnsi="Times" w:cs="Times"/>
          <w:b/>
          <w:color w:val="000000"/>
          <w:sz w:val="24"/>
          <w:szCs w:val="24"/>
        </w:rPr>
        <w:t>and  the</w:t>
      </w:r>
      <w:proofErr w:type="gram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criteria or rubric used to evaluate the assignment in detail and, if possible,  include copies of the assignment and criteria/rubric at the end of this report.  </w:t>
      </w:r>
    </w:p>
    <w:p w:rsidR="006A79FD" w:rsidRDefault="000300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" w:line="240" w:lineRule="auto"/>
        <w:ind w:left="72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>Ling 241 (Graduate Seminar in Teaching English as a Se</w:t>
      </w:r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>cond Language), Fall 2018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:rsidR="006A79FD" w:rsidRDefault="000300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27" w:lineRule="auto"/>
        <w:ind w:left="723" w:right="861" w:hanging="5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We used a major assignment in Ling 241, Teaching Demonstration, to assess the </w:t>
      </w:r>
      <w:proofErr w:type="gramStart"/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learning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outcome</w:t>
      </w:r>
      <w:proofErr w:type="gramEnd"/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4.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:rsidR="006A79FD" w:rsidRDefault="000300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30" w:lineRule="auto"/>
        <w:ind w:left="720" w:right="813" w:firstLine="3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  <w:highlight w:val="white"/>
        </w:rPr>
        <w:t xml:space="preserve">Teaching Demonstration: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Each student is assessed on the implementation of a lesson </w:t>
      </w:r>
      <w:proofErr w:type="gramStart"/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plan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that</w:t>
      </w:r>
      <w:proofErr w:type="gramEnd"/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incorporates a drama activity designed to address one of the needs identified in the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Needs Assessment. Students is also evaluated on their classroom presence, </w:t>
      </w:r>
      <w:proofErr w:type="gramStart"/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time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management</w:t>
      </w:r>
      <w:proofErr w:type="gramEnd"/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, and the ability to deal with any challenging student behaviors. Students </w:t>
      </w:r>
      <w:proofErr w:type="gramStart"/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can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choose</w:t>
      </w:r>
      <w:proofErr w:type="gramEnd"/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which day they would like to be assessed, but they must make sure their lesson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addresses the theme of that week. Students lead one larger scale activity at their </w:t>
      </w:r>
      <w:proofErr w:type="gramStart"/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internship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site</w:t>
      </w:r>
      <w:proofErr w:type="gramEnd"/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, which is graded by their mentor. This is a real-life teaching d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emo, so they are </w:t>
      </w:r>
      <w:proofErr w:type="gramStart"/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being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graded</w:t>
      </w:r>
      <w:proofErr w:type="gramEnd"/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on their actual teaching in a real situation rather than in class.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:rsidR="006A79FD" w:rsidRDefault="000300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720"/>
        <w:rPr>
          <w:rFonts w:ascii="Times" w:eastAsia="Times" w:hAnsi="Times" w:cs="Times"/>
          <w:color w:val="000000"/>
          <w:sz w:val="24"/>
          <w:szCs w:val="24"/>
          <w:highlight w:val="white"/>
        </w:rPr>
      </w:pP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The grading rubric </w:t>
      </w:r>
      <w:proofErr w:type="gramStart"/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is attached</w:t>
      </w:r>
      <w:proofErr w:type="gramEnd"/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as an Appendix at the end of this report.</w:t>
      </w:r>
    </w:p>
    <w:p w:rsidR="006A79FD" w:rsidRDefault="000300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45" w:line="240" w:lineRule="auto"/>
        <w:ind w:right="883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1 </w:t>
      </w:r>
    </w:p>
    <w:p w:rsidR="006A79FD" w:rsidRDefault="00030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9" w:lineRule="auto"/>
        <w:ind w:left="721" w:right="1115" w:hanging="353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3. What did you learn from your analysis of the data? Please include sample size (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how  many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students were evaluated) and indicate how many students (number or percentage  instead of a median or mean) were designated as proficient.  </w:t>
      </w:r>
    </w:p>
    <w:p w:rsidR="006A79FD" w:rsidRDefault="000300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" w:line="229" w:lineRule="auto"/>
        <w:ind w:left="718" w:right="813" w:firstLine="2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There were </w:t>
      </w:r>
      <w:proofErr w:type="gramStart"/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4</w:t>
      </w:r>
      <w:proofErr w:type="gramEnd"/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students i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n this class. Some students were nervous and a little </w:t>
      </w:r>
      <w:proofErr w:type="gramStart"/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underprepared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on</w:t>
      </w:r>
      <w:proofErr w:type="gramEnd"/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the day which is reflected in the lower scores, whereas other students thrived and worked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really well with the ESL students.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:rsidR="006A79FD" w:rsidRDefault="000300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727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Scores (out of 25):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:rsidR="006A79FD" w:rsidRDefault="00030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7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Student 1: 18 (72%)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:rsidR="006A79FD" w:rsidRDefault="00030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7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Student 2: 25 (100%)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:rsidR="006A79FD" w:rsidRDefault="00030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7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Student 3: 19 (76%)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:rsidR="006A79FD" w:rsidRDefault="00030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7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Student 4: 22 (88%)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:rsidR="006A79FD" w:rsidRDefault="000300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1" w:lineRule="auto"/>
        <w:ind w:left="721" w:right="1038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Despite the small number of students, all the students were deemed proficient (&gt;70% </w:t>
      </w:r>
      <w:proofErr w:type="gramStart"/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in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score</w:t>
      </w:r>
      <w:proofErr w:type="gramEnd"/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) in executing their first real-life classroom ESL teaching. Students 2 and 4 </w:t>
      </w:r>
      <w:proofErr w:type="gramStart"/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were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excellent</w:t>
      </w:r>
      <w:proofErr w:type="gramEnd"/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overa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ll in delivering the lesson plan.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:rsidR="006A79FD" w:rsidRDefault="000300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7" w:line="240" w:lineRule="auto"/>
        <w:ind w:left="36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4. What changes, if any, do you recommend based on the assessment data? </w:t>
      </w:r>
    </w:p>
    <w:p w:rsidR="006A79FD" w:rsidRDefault="000300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9" w:lineRule="auto"/>
        <w:ind w:left="718" w:right="813" w:hanging="1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We found that teaching demonstration was a perfect assignment for Ling 241 to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assess  students’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ability to carry out curriculum preparation in TESL. The detailed grading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rubric  was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very effective in helping students prepare and implement their lesson plan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in real-life  teaching situations. It ensured that students understood the learning expectations and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pay  attention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to important aspects of language teaching, i.e. organizational structure and time  management, quality of in-class task, classroom manageme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nt, and various presentation  skills.  </w:t>
      </w:r>
    </w:p>
    <w:p w:rsidR="006A79FD" w:rsidRDefault="000300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7" w:lineRule="auto"/>
        <w:ind w:left="720" w:right="813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Improvement could be made in devoting a bit more attention and time to TESOL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theory  and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second language acquisition in relation to hand-on practical foreign language teaching  techniques.  </w:t>
      </w:r>
    </w:p>
    <w:p w:rsidR="006A79FD" w:rsidRDefault="000300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3" w:line="249" w:lineRule="auto"/>
        <w:ind w:left="718" w:right="813" w:hanging="353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5. If you recommended any changes in your response to Question 4 in last year’s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assessment  report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, what progress have you made in implementing these changes? If you did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not  recommend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making any changes in last year’s report please write N/A as your answe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r to  this question. </w:t>
      </w:r>
    </w:p>
    <w:p w:rsidR="006A79FD" w:rsidRDefault="000300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" w:line="240" w:lineRule="auto"/>
        <w:ind w:left="72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N/A </w:t>
      </w:r>
    </w:p>
    <w:p w:rsidR="006A79FD" w:rsidRDefault="000300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6" w:line="240" w:lineRule="auto"/>
        <w:ind w:left="365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6. What assessment activities will you be conducting during the next academic year? </w:t>
      </w:r>
    </w:p>
    <w:p w:rsidR="006A79FD" w:rsidRDefault="000300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line="247" w:lineRule="auto"/>
        <w:ind w:left="721" w:right="1307" w:hanging="3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We plan to assess the following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student learning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outcome in 2020-2021 and </w:t>
      </w: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Ling 248 Sociolinguistics </w:t>
      </w:r>
      <w:r>
        <w:rPr>
          <w:rFonts w:ascii="Times" w:eastAsia="Times" w:hAnsi="Times" w:cs="Times"/>
          <w:color w:val="000000"/>
          <w:sz w:val="24"/>
          <w:szCs w:val="24"/>
        </w:rPr>
        <w:t>will be assessed for this SLO.</w:t>
      </w:r>
    </w:p>
    <w:p w:rsidR="006A79FD" w:rsidRDefault="000300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8" w:line="240" w:lineRule="auto"/>
        <w:ind w:right="884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2 </w:t>
      </w:r>
    </w:p>
    <w:p w:rsidR="006A79FD" w:rsidRDefault="00030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7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SLO Goal 2: Effective skills in the analysis of linguistic data. </w:t>
      </w:r>
    </w:p>
    <w:p w:rsidR="006A79FD" w:rsidRDefault="00030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Objective 2.1 Identify related elements in a data set. </w:t>
      </w:r>
    </w:p>
    <w:p w:rsidR="006A79FD" w:rsidRDefault="00030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724" w:right="2549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Objective 2.2 Formulate organizing principles that encompass a data set. Objective 2.3 Recognize and evaluate alternative analyses of a data set. </w:t>
      </w:r>
    </w:p>
    <w:p w:rsidR="006A79FD" w:rsidRDefault="000300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ind w:left="36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7. What progress have you made on items from your last program review action plan? </w:t>
      </w:r>
    </w:p>
    <w:p w:rsidR="006A79FD" w:rsidRDefault="000300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31" w:lineRule="auto"/>
        <w:ind w:left="723" w:right="1298" w:hanging="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The most recent program r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eview (2015) made the following recommendations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in  curriculum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development for the MA program and the department has made efforts to  address each of them. </w:t>
      </w:r>
    </w:p>
    <w:p w:rsidR="006A79FD" w:rsidRDefault="000300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31" w:lineRule="auto"/>
        <w:ind w:left="1173" w:right="880" w:hanging="44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(1) “The development of new graduate courses in research methods, language structures  for teachers, a survey of applied linguistics, a morphology course, and a semantics  course in the future.” </w:t>
      </w:r>
    </w:p>
    <w:p w:rsidR="006A79FD" w:rsidRDefault="000300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31" w:lineRule="auto"/>
        <w:ind w:left="1349" w:right="813" w:hanging="259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Dr. John Boyle has developed and offered an undergraduate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Morphology course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last  year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and this course was offered again in Spring 2018. </w:t>
      </w:r>
    </w:p>
    <w:p w:rsidR="006A79FD" w:rsidRDefault="000300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30" w:lineRule="auto"/>
        <w:ind w:left="1347" w:right="813" w:hanging="257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The department conducted a search for a linguist specializing in TESL and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applied  linguistics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in 2016-2017. We successfully hired Dr.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Jaydene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Elvin who started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here  in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fall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2017. Dr. Elvin has contributed to the development of a graduate course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in  research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methods and will be offering the graduate research methods class in Fall  2018. She is also overseeing two internship opportunities for TESOL students in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the  MA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and BA p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rograms. </w:t>
      </w:r>
    </w:p>
    <w:p w:rsidR="006A79FD" w:rsidRDefault="000300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31" w:lineRule="auto"/>
        <w:ind w:left="1349" w:right="813" w:hanging="258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The department also hired John Lyon, a tenure-track faculty member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who  specializes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in semantics. He is teaching a new Semantics undergraduate course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in  Fall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2018, and will offer a graduate Seminar in Semantics in Spring 2019. </w:t>
      </w:r>
    </w:p>
    <w:p w:rsidR="006A79FD" w:rsidRDefault="000300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31" w:lineRule="auto"/>
        <w:ind w:left="1173" w:right="1278" w:hanging="44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(2) “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making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the TESOL option more general and applying it to teaching subsequent  languages other than English” </w:t>
      </w:r>
    </w:p>
    <w:p w:rsidR="006A79FD" w:rsidRDefault="000300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30" w:lineRule="auto"/>
        <w:ind w:left="1349" w:right="813" w:hanging="259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Our core and required courses for the TESOL option are offering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students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theoretical and practical training to teach subsequent languages oth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er than English. We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just  submitted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a curriculum change proposal to change the TESL option to  TESOL/SLAT (Second Language Acquisition and Teaching) to reflect the broader  scope of curriculum. </w:t>
      </w:r>
    </w:p>
    <w:p w:rsidR="006A79FD" w:rsidRDefault="000300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728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(3) “Culminating Experiences and Student Direction” </w:t>
      </w:r>
    </w:p>
    <w:p w:rsidR="006A79FD" w:rsidRDefault="000300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30" w:lineRule="auto"/>
        <w:ind w:left="1347" w:right="813" w:hanging="257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The department faculty have agreed to develop the Project option for the students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in  the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TESOL option. We have included internship opportunities in the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TESOL  program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through Fresno Adult School, San Joaquin Memorial High School, and 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Agriland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Farming Com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pany, and incorporated these experiences into the curricula </w:t>
      </w:r>
    </w:p>
    <w:p w:rsidR="006A79FD" w:rsidRDefault="000300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9" w:lineRule="auto"/>
        <w:ind w:left="1351" w:right="813"/>
        <w:rPr>
          <w:rFonts w:ascii="Times" w:eastAsia="Times" w:hAnsi="Times" w:cs="Times"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for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Ling 141, Ling 171, Ling 241 and Ling 244. Ling 241 is being developed as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a  service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-learning course. We will work on developing ways in which these experiences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can be incorporated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into the s</w:t>
      </w:r>
      <w:r>
        <w:rPr>
          <w:rFonts w:ascii="Times" w:eastAsia="Times" w:hAnsi="Times" w:cs="Times"/>
          <w:color w:val="000000"/>
          <w:sz w:val="24"/>
          <w:szCs w:val="24"/>
        </w:rPr>
        <w:t>tudents’ culminating experience.</w:t>
      </w:r>
    </w:p>
    <w:p w:rsidR="006A79FD" w:rsidRDefault="000300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0" w:line="240" w:lineRule="auto"/>
        <w:ind w:right="885"/>
        <w:jc w:val="right"/>
        <w:rPr>
          <w:rFonts w:ascii="Calibri" w:eastAsia="Calibri" w:hAnsi="Calibri" w:cs="Calibri"/>
          <w:color w:val="000000"/>
        </w:rPr>
        <w:sectPr w:rsidR="006A79FD">
          <w:pgSz w:w="12240" w:h="15840"/>
          <w:pgMar w:top="1411" w:right="561" w:bottom="772" w:left="1447" w:header="0" w:footer="720" w:gutter="0"/>
          <w:pgNumType w:start="1"/>
          <w:cols w:space="720"/>
        </w:sectPr>
      </w:pPr>
      <w:r>
        <w:rPr>
          <w:rFonts w:ascii="Calibri" w:eastAsia="Calibri" w:hAnsi="Calibri" w:cs="Calibri"/>
          <w:color w:val="000000"/>
        </w:rPr>
        <w:lastRenderedPageBreak/>
        <w:t xml:space="preserve">3 </w:t>
      </w:r>
    </w:p>
    <w:p w:rsidR="006A79FD" w:rsidRDefault="00030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Appendix: Ling 241 Grading Rubric for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Teaching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demonstration</w:t>
      </w:r>
    </w:p>
    <w:p w:rsidR="006A79FD" w:rsidRDefault="000300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335" w:lineRule="auto"/>
        <w:rPr>
          <w:rFonts w:ascii="Calibri" w:eastAsia="Calibri" w:hAnsi="Calibri" w:cs="Calibri"/>
          <w:color w:val="000000"/>
        </w:rPr>
      </w:pPr>
      <w:r>
        <w:rPr>
          <w:rFonts w:ascii="Times" w:eastAsia="Times" w:hAnsi="Times" w:cs="Times"/>
          <w:noProof/>
          <w:color w:val="000000"/>
          <w:sz w:val="24"/>
          <w:szCs w:val="24"/>
        </w:rPr>
        <w:drawing>
          <wp:inline distT="19050" distB="19050" distL="19050" distR="19050">
            <wp:extent cx="6496685" cy="489234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96685" cy="48923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</w:rPr>
        <w:t xml:space="preserve">4 </w:t>
      </w:r>
    </w:p>
    <w:sectPr w:rsidR="006A79FD">
      <w:type w:val="continuous"/>
      <w:pgSz w:w="12240" w:h="15840"/>
      <w:pgMar w:top="1411" w:right="1440" w:bottom="772" w:left="1440" w:header="0" w:footer="720" w:gutter="0"/>
      <w:cols w:space="720" w:equalWidth="0">
        <w:col w:w="93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Roman"/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FD"/>
    <w:rsid w:val="00030070"/>
    <w:rsid w:val="006A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1931DB-2EAC-4715-A0DF-7380E111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Fraleigh</dc:creator>
  <cp:lastModifiedBy>Doug Fraleigh</cp:lastModifiedBy>
  <cp:revision>2</cp:revision>
  <dcterms:created xsi:type="dcterms:W3CDTF">2020-10-22T13:21:00Z</dcterms:created>
  <dcterms:modified xsi:type="dcterms:W3CDTF">2020-10-22T13:21:00Z</dcterms:modified>
</cp:coreProperties>
</file>