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2C" w:rsidRDefault="0037612C" w:rsidP="008E279D">
      <w:pPr>
        <w:jc w:val="center"/>
        <w:rPr>
          <w:b/>
          <w:sz w:val="36"/>
        </w:rPr>
      </w:pPr>
      <w:bookmarkStart w:id="0" w:name="_GoBack"/>
      <w:bookmarkEnd w:id="0"/>
    </w:p>
    <w:p w:rsidR="0037612C" w:rsidRDefault="0037612C" w:rsidP="008E279D">
      <w:pPr>
        <w:jc w:val="center"/>
        <w:rPr>
          <w:b/>
          <w:sz w:val="36"/>
        </w:rPr>
      </w:pPr>
    </w:p>
    <w:p w:rsidR="008E279D" w:rsidRPr="0037612C" w:rsidRDefault="008E279D" w:rsidP="008E279D">
      <w:pPr>
        <w:jc w:val="center"/>
        <w:rPr>
          <w:b/>
          <w:sz w:val="36"/>
        </w:rPr>
      </w:pPr>
      <w:r w:rsidRPr="0037612C">
        <w:rPr>
          <w:b/>
          <w:sz w:val="36"/>
        </w:rPr>
        <w:t xml:space="preserve">Fresno State Student Ratings of Instruction </w:t>
      </w:r>
      <w:r w:rsidR="00651073">
        <w:rPr>
          <w:b/>
          <w:sz w:val="36"/>
        </w:rPr>
        <w:t xml:space="preserve">(FSSRI) </w:t>
      </w:r>
      <w:r w:rsidRPr="0037612C">
        <w:rPr>
          <w:b/>
          <w:sz w:val="36"/>
        </w:rPr>
        <w:t>Questionnaire:</w:t>
      </w:r>
    </w:p>
    <w:p w:rsidR="00863442" w:rsidRPr="0037612C" w:rsidRDefault="008E279D" w:rsidP="008E279D">
      <w:pPr>
        <w:jc w:val="center"/>
        <w:rPr>
          <w:b/>
          <w:sz w:val="36"/>
        </w:rPr>
      </w:pPr>
      <w:r w:rsidRPr="0037612C">
        <w:rPr>
          <w:b/>
          <w:sz w:val="36"/>
        </w:rPr>
        <w:t xml:space="preserve">Report on Scale Construction, Reliability, and Validity </w:t>
      </w:r>
    </w:p>
    <w:p w:rsidR="008E279D" w:rsidRDefault="008E279D" w:rsidP="008E279D">
      <w:pPr>
        <w:jc w:val="center"/>
        <w:rPr>
          <w:sz w:val="28"/>
        </w:rPr>
      </w:pPr>
    </w:p>
    <w:p w:rsidR="008E279D" w:rsidRDefault="008E279D"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Default="0037612C" w:rsidP="008E279D">
      <w:pPr>
        <w:jc w:val="center"/>
        <w:rPr>
          <w:sz w:val="28"/>
        </w:rPr>
      </w:pPr>
    </w:p>
    <w:p w:rsidR="0037612C" w:rsidRPr="00ED11CF" w:rsidRDefault="008E279D" w:rsidP="008E279D">
      <w:pPr>
        <w:jc w:val="center"/>
        <w:rPr>
          <w:sz w:val="28"/>
        </w:rPr>
      </w:pPr>
      <w:r w:rsidRPr="00ED11CF">
        <w:rPr>
          <w:sz w:val="28"/>
        </w:rPr>
        <w:t xml:space="preserve">Kathleen Dyer, </w:t>
      </w:r>
      <w:r w:rsidR="0037612C" w:rsidRPr="00ED11CF">
        <w:rPr>
          <w:sz w:val="28"/>
        </w:rPr>
        <w:t>on behalf of the</w:t>
      </w:r>
    </w:p>
    <w:p w:rsidR="008E279D" w:rsidRPr="00ED11CF" w:rsidRDefault="008E279D" w:rsidP="008E279D">
      <w:pPr>
        <w:jc w:val="center"/>
        <w:rPr>
          <w:sz w:val="28"/>
        </w:rPr>
      </w:pPr>
      <w:r w:rsidRPr="00ED11CF">
        <w:rPr>
          <w:sz w:val="28"/>
        </w:rPr>
        <w:t>Academic Senate Task Force on Fresno State Student Ratings Questionnaire</w:t>
      </w:r>
    </w:p>
    <w:p w:rsidR="0037612C" w:rsidRPr="00ED11CF" w:rsidRDefault="0037612C" w:rsidP="0037612C">
      <w:pPr>
        <w:jc w:val="center"/>
        <w:rPr>
          <w:sz w:val="28"/>
        </w:rPr>
      </w:pPr>
      <w:r w:rsidRPr="00ED11CF">
        <w:rPr>
          <w:sz w:val="28"/>
        </w:rPr>
        <w:t xml:space="preserve">California State University, Fresno </w:t>
      </w:r>
    </w:p>
    <w:p w:rsidR="008E279D" w:rsidRPr="00ED11CF" w:rsidRDefault="008E279D" w:rsidP="008E279D">
      <w:pPr>
        <w:jc w:val="center"/>
        <w:rPr>
          <w:sz w:val="28"/>
        </w:rPr>
      </w:pPr>
    </w:p>
    <w:p w:rsidR="008E279D" w:rsidRPr="00ED11CF" w:rsidRDefault="009C6523" w:rsidP="008E279D">
      <w:pPr>
        <w:jc w:val="center"/>
        <w:rPr>
          <w:sz w:val="28"/>
        </w:rPr>
      </w:pPr>
      <w:r>
        <w:rPr>
          <w:sz w:val="28"/>
        </w:rPr>
        <w:t>September</w:t>
      </w:r>
      <w:r w:rsidR="008E279D" w:rsidRPr="00ED11CF">
        <w:rPr>
          <w:sz w:val="28"/>
        </w:rPr>
        <w:t xml:space="preserve"> </w:t>
      </w:r>
      <w:r w:rsidR="00375620">
        <w:rPr>
          <w:sz w:val="28"/>
        </w:rPr>
        <w:t xml:space="preserve">9, </w:t>
      </w:r>
      <w:r w:rsidR="008E279D" w:rsidRPr="00ED11CF">
        <w:rPr>
          <w:sz w:val="28"/>
        </w:rPr>
        <w:t xml:space="preserve">2019 </w:t>
      </w:r>
    </w:p>
    <w:p w:rsidR="003D411E" w:rsidRPr="0037612C" w:rsidRDefault="003D411E" w:rsidP="003D411E">
      <w:pPr>
        <w:jc w:val="center"/>
        <w:rPr>
          <w:b/>
          <w:sz w:val="36"/>
        </w:rPr>
      </w:pPr>
      <w:r w:rsidRPr="0037612C">
        <w:rPr>
          <w:b/>
          <w:sz w:val="36"/>
        </w:rPr>
        <w:lastRenderedPageBreak/>
        <w:t xml:space="preserve">Fresno State Student Ratings of Instruction </w:t>
      </w:r>
      <w:r>
        <w:rPr>
          <w:b/>
          <w:sz w:val="36"/>
        </w:rPr>
        <w:t xml:space="preserve">(FSSRI) </w:t>
      </w:r>
      <w:r w:rsidRPr="0037612C">
        <w:rPr>
          <w:b/>
          <w:sz w:val="36"/>
        </w:rPr>
        <w:t>Questionnaire:</w:t>
      </w:r>
    </w:p>
    <w:p w:rsidR="003D411E" w:rsidRPr="0037612C" w:rsidRDefault="003D411E" w:rsidP="003D411E">
      <w:pPr>
        <w:jc w:val="center"/>
        <w:rPr>
          <w:b/>
          <w:sz w:val="36"/>
        </w:rPr>
      </w:pPr>
      <w:r w:rsidRPr="0037612C">
        <w:rPr>
          <w:b/>
          <w:sz w:val="36"/>
        </w:rPr>
        <w:t xml:space="preserve">Report on Scale Construction, Reliability, and Validity </w:t>
      </w:r>
    </w:p>
    <w:p w:rsidR="008E279D" w:rsidRDefault="008E279D" w:rsidP="008E279D">
      <w:pPr>
        <w:jc w:val="center"/>
        <w:rPr>
          <w:sz w:val="24"/>
        </w:rPr>
      </w:pPr>
    </w:p>
    <w:p w:rsidR="00EE22C4" w:rsidRPr="00EE22C4" w:rsidRDefault="00EE22C4">
      <w:pPr>
        <w:rPr>
          <w:b/>
          <w:sz w:val="36"/>
        </w:rPr>
      </w:pPr>
      <w:r w:rsidRPr="00EE22C4">
        <w:rPr>
          <w:b/>
          <w:sz w:val="36"/>
        </w:rPr>
        <w:t xml:space="preserve">Background </w:t>
      </w:r>
    </w:p>
    <w:p w:rsidR="008E279D" w:rsidRPr="00EE22C4" w:rsidRDefault="008E279D">
      <w:pPr>
        <w:rPr>
          <w:sz w:val="24"/>
        </w:rPr>
      </w:pPr>
      <w:r w:rsidRPr="00EE22C4">
        <w:rPr>
          <w:sz w:val="24"/>
        </w:rPr>
        <w:t xml:space="preserve">In </w:t>
      </w:r>
      <w:proofErr w:type="gramStart"/>
      <w:r w:rsidRPr="00EE22C4">
        <w:rPr>
          <w:sz w:val="24"/>
        </w:rPr>
        <w:t>Spring</w:t>
      </w:r>
      <w:proofErr w:type="gramEnd"/>
      <w:r w:rsidRPr="00EE22C4">
        <w:rPr>
          <w:sz w:val="24"/>
        </w:rPr>
        <w:t xml:space="preserve"> semester of 2018, with one year remaining of a contract with IDEA for student ratings, the </w:t>
      </w:r>
      <w:r w:rsidR="00D40373">
        <w:rPr>
          <w:sz w:val="24"/>
        </w:rPr>
        <w:t xml:space="preserve">Fresno State </w:t>
      </w:r>
      <w:r w:rsidRPr="00EE22C4">
        <w:rPr>
          <w:sz w:val="24"/>
        </w:rPr>
        <w:t xml:space="preserve">Academic Senate voted to explore options in addition to continuing with IDEA’s soon-to-be fully online course evaluation program. The reasons included: </w:t>
      </w:r>
    </w:p>
    <w:p w:rsidR="008E279D" w:rsidRPr="00FE4DC5" w:rsidRDefault="008E279D" w:rsidP="001154AE">
      <w:pPr>
        <w:pStyle w:val="ListParagraph"/>
        <w:numPr>
          <w:ilvl w:val="0"/>
          <w:numId w:val="1"/>
        </w:numPr>
        <w:rPr>
          <w:sz w:val="24"/>
        </w:rPr>
      </w:pPr>
      <w:r w:rsidRPr="00FE4DC5">
        <w:rPr>
          <w:sz w:val="24"/>
        </w:rPr>
        <w:t xml:space="preserve">IDEA was transitioning to a fully online system. Not all faculty at Fresno State were comfortable moving to online evaluations without the option of conducting evaluations on paper. </w:t>
      </w:r>
      <w:r w:rsidR="00FE4DC5" w:rsidRPr="00FE4DC5">
        <w:rPr>
          <w:sz w:val="24"/>
        </w:rPr>
        <w:t xml:space="preserve">And </w:t>
      </w:r>
      <w:r w:rsidR="00FE4DC5">
        <w:rPr>
          <w:sz w:val="24"/>
        </w:rPr>
        <w:t>t</w:t>
      </w:r>
      <w:r w:rsidRPr="00FE4DC5">
        <w:rPr>
          <w:sz w:val="24"/>
        </w:rPr>
        <w:t xml:space="preserve">he shift to online evaluation included a big price increase. </w:t>
      </w:r>
    </w:p>
    <w:p w:rsidR="00F205C8" w:rsidRPr="00EE22C4" w:rsidRDefault="00F205C8" w:rsidP="008E279D">
      <w:pPr>
        <w:pStyle w:val="ListParagraph"/>
        <w:numPr>
          <w:ilvl w:val="0"/>
          <w:numId w:val="1"/>
        </w:numPr>
        <w:rPr>
          <w:sz w:val="24"/>
        </w:rPr>
      </w:pPr>
      <w:r w:rsidRPr="00EE22C4">
        <w:rPr>
          <w:sz w:val="24"/>
        </w:rPr>
        <w:t xml:space="preserve">Some dissatisfaction with IDEA was identified among the faculty. Complaints included: </w:t>
      </w:r>
    </w:p>
    <w:p w:rsidR="00F205C8" w:rsidRDefault="00F205C8" w:rsidP="00F205C8">
      <w:pPr>
        <w:pStyle w:val="ListParagraph"/>
        <w:numPr>
          <w:ilvl w:val="1"/>
          <w:numId w:val="1"/>
        </w:numPr>
        <w:rPr>
          <w:sz w:val="24"/>
        </w:rPr>
      </w:pPr>
      <w:r w:rsidRPr="00EE22C4">
        <w:rPr>
          <w:sz w:val="24"/>
        </w:rPr>
        <w:t xml:space="preserve">The system is opaque. It was unclear how they calculated their “raw” and “weighted” scores. Those who requested clarification were directed to white papers that were equally opaque. </w:t>
      </w:r>
    </w:p>
    <w:p w:rsidR="00FE4DC5" w:rsidRPr="00EE22C4" w:rsidRDefault="00FE4DC5" w:rsidP="00F205C8">
      <w:pPr>
        <w:pStyle w:val="ListParagraph"/>
        <w:numPr>
          <w:ilvl w:val="1"/>
          <w:numId w:val="1"/>
        </w:numPr>
        <w:rPr>
          <w:sz w:val="24"/>
        </w:rPr>
      </w:pPr>
      <w:r>
        <w:rPr>
          <w:sz w:val="24"/>
        </w:rPr>
        <w:t xml:space="preserve">It appears that mandatory items (e.g., “overall, this is an excellent course”) comprise a large portion of the summary scores. This does not conform to the requirement in the APM that we choose from a pool of approved items. </w:t>
      </w:r>
    </w:p>
    <w:p w:rsidR="00F205C8" w:rsidRPr="00EE22C4" w:rsidRDefault="00F205C8" w:rsidP="00F205C8">
      <w:pPr>
        <w:pStyle w:val="ListParagraph"/>
        <w:numPr>
          <w:ilvl w:val="1"/>
          <w:numId w:val="1"/>
        </w:numPr>
        <w:rPr>
          <w:sz w:val="24"/>
        </w:rPr>
      </w:pPr>
      <w:r w:rsidRPr="00EE22C4">
        <w:rPr>
          <w:sz w:val="24"/>
        </w:rPr>
        <w:t xml:space="preserve">Low scores were difficult </w:t>
      </w:r>
      <w:r w:rsidR="00F971DB">
        <w:rPr>
          <w:sz w:val="24"/>
        </w:rPr>
        <w:t xml:space="preserve">to </w:t>
      </w:r>
      <w:r w:rsidRPr="00EE22C4">
        <w:rPr>
          <w:sz w:val="24"/>
        </w:rPr>
        <w:t xml:space="preserve">act upon because they don’t directly address what teachers do in the classroom. </w:t>
      </w:r>
    </w:p>
    <w:p w:rsidR="00F205C8" w:rsidRPr="00EE22C4" w:rsidRDefault="00F205C8" w:rsidP="00F205C8">
      <w:pPr>
        <w:pStyle w:val="ListParagraph"/>
        <w:numPr>
          <w:ilvl w:val="1"/>
          <w:numId w:val="1"/>
        </w:numPr>
        <w:rPr>
          <w:sz w:val="24"/>
        </w:rPr>
      </w:pPr>
      <w:r w:rsidRPr="00EE22C4">
        <w:rPr>
          <w:sz w:val="24"/>
        </w:rPr>
        <w:t xml:space="preserve">The APM requires us to evaluate specific dimensions of teaching. Those dimensions are not addressed at all in the IDEA rating system. Therefore, it seemed badly out of compliance with our own policy. </w:t>
      </w:r>
    </w:p>
    <w:p w:rsidR="00F205C8" w:rsidRPr="00EE22C4" w:rsidRDefault="00F205C8" w:rsidP="00F205C8">
      <w:pPr>
        <w:pStyle w:val="ListParagraph"/>
        <w:numPr>
          <w:ilvl w:val="1"/>
          <w:numId w:val="1"/>
        </w:numPr>
        <w:rPr>
          <w:sz w:val="24"/>
        </w:rPr>
      </w:pPr>
      <w:r w:rsidRPr="00EE22C4">
        <w:rPr>
          <w:sz w:val="24"/>
        </w:rPr>
        <w:t>IDEA is based on the premise that students can self-evaluate how much progress they had made on learning outcomes. Decades of research demonstrates clearly that human beings are inaccurate reporters of their own knowledge and skill</w:t>
      </w:r>
      <w:r w:rsidR="00C4424E">
        <w:rPr>
          <w:sz w:val="24"/>
        </w:rPr>
        <w:t>, known as the “overconfidence effect”</w:t>
      </w:r>
      <w:r w:rsidR="00FE4DC5">
        <w:rPr>
          <w:sz w:val="24"/>
        </w:rPr>
        <w:t xml:space="preserve"> (e.g., </w:t>
      </w:r>
      <w:proofErr w:type="spellStart"/>
      <w:r w:rsidR="006762C9">
        <w:rPr>
          <w:sz w:val="24"/>
        </w:rPr>
        <w:t>Svenson</w:t>
      </w:r>
      <w:proofErr w:type="spellEnd"/>
      <w:r w:rsidR="006762C9">
        <w:rPr>
          <w:sz w:val="24"/>
        </w:rPr>
        <w:t xml:space="preserve">, 1981; </w:t>
      </w:r>
      <w:r w:rsidR="002E53BE">
        <w:rPr>
          <w:sz w:val="24"/>
        </w:rPr>
        <w:t xml:space="preserve">Kruger &amp; Dunning, 1999; </w:t>
      </w:r>
      <w:proofErr w:type="spellStart"/>
      <w:r w:rsidR="002E53BE">
        <w:rPr>
          <w:sz w:val="24"/>
        </w:rPr>
        <w:t>Atir</w:t>
      </w:r>
      <w:proofErr w:type="spellEnd"/>
      <w:r w:rsidR="002E53BE">
        <w:rPr>
          <w:sz w:val="24"/>
        </w:rPr>
        <w:t xml:space="preserve">, </w:t>
      </w:r>
      <w:proofErr w:type="spellStart"/>
      <w:r w:rsidR="002E53BE">
        <w:rPr>
          <w:sz w:val="24"/>
        </w:rPr>
        <w:t>Rosenzweig</w:t>
      </w:r>
      <w:proofErr w:type="spellEnd"/>
      <w:r w:rsidR="002E53BE">
        <w:rPr>
          <w:sz w:val="24"/>
        </w:rPr>
        <w:t xml:space="preserve">, &amp; Dunning, 2015; </w:t>
      </w:r>
      <w:proofErr w:type="spellStart"/>
      <w:r w:rsidR="00FE4DC5">
        <w:rPr>
          <w:sz w:val="24"/>
        </w:rPr>
        <w:t>Kardas</w:t>
      </w:r>
      <w:proofErr w:type="spellEnd"/>
      <w:r w:rsidR="00FE4DC5">
        <w:rPr>
          <w:sz w:val="24"/>
        </w:rPr>
        <w:t xml:space="preserve"> &amp; O’Brien, 2018)</w:t>
      </w:r>
      <w:r w:rsidRPr="00EE22C4">
        <w:rPr>
          <w:sz w:val="24"/>
        </w:rPr>
        <w:t xml:space="preserve">. </w:t>
      </w:r>
    </w:p>
    <w:p w:rsidR="00EE22C4" w:rsidRDefault="0037612C" w:rsidP="00F205C8">
      <w:pPr>
        <w:rPr>
          <w:sz w:val="24"/>
        </w:rPr>
      </w:pPr>
      <w:r>
        <w:rPr>
          <w:sz w:val="24"/>
        </w:rPr>
        <w:t>T</w:t>
      </w:r>
      <w:r w:rsidR="00F205C8" w:rsidRPr="00EE22C4">
        <w:rPr>
          <w:sz w:val="24"/>
        </w:rPr>
        <w:t xml:space="preserve">he Senate formed a Task Force to explore the possibility of creating a Fresno State Student Ratings of Instruction questionnaire. That Task Force was formed by the end of the </w:t>
      </w:r>
      <w:proofErr w:type="gramStart"/>
      <w:r w:rsidR="00F205C8" w:rsidRPr="00EE22C4">
        <w:rPr>
          <w:sz w:val="24"/>
        </w:rPr>
        <w:t>Spring</w:t>
      </w:r>
      <w:proofErr w:type="gramEnd"/>
      <w:r w:rsidR="00F205C8" w:rsidRPr="00EE22C4">
        <w:rPr>
          <w:sz w:val="24"/>
        </w:rPr>
        <w:t xml:space="preserve"> semester, with representation from all eight colleges on campus. They met in late spring to elect a chair </w:t>
      </w:r>
      <w:r w:rsidR="00F971DB">
        <w:rPr>
          <w:sz w:val="24"/>
        </w:rPr>
        <w:t xml:space="preserve">(Kathleen Dyer) </w:t>
      </w:r>
      <w:r w:rsidR="00F205C8" w:rsidRPr="00EE22C4">
        <w:rPr>
          <w:sz w:val="24"/>
        </w:rPr>
        <w:t xml:space="preserve">and to create a plan for how to approach their charge. A few task force members met over summer </w:t>
      </w:r>
      <w:r w:rsidR="00D40373">
        <w:rPr>
          <w:sz w:val="24"/>
        </w:rPr>
        <w:t xml:space="preserve">2018 </w:t>
      </w:r>
      <w:r w:rsidR="00F205C8" w:rsidRPr="00EE22C4">
        <w:rPr>
          <w:sz w:val="24"/>
        </w:rPr>
        <w:t xml:space="preserve">to begin reviewing the existing published literature that would guide their work. The chair of the task force also met with </w:t>
      </w:r>
      <w:r w:rsidR="004D65B3">
        <w:rPr>
          <w:sz w:val="24"/>
        </w:rPr>
        <w:t>those</w:t>
      </w:r>
      <w:r w:rsidR="00F205C8" w:rsidRPr="00EE22C4">
        <w:rPr>
          <w:sz w:val="24"/>
        </w:rPr>
        <w:t xml:space="preserve"> on campus who had </w:t>
      </w:r>
      <w:r w:rsidR="00F205C8" w:rsidRPr="00EE22C4">
        <w:rPr>
          <w:sz w:val="24"/>
        </w:rPr>
        <w:lastRenderedPageBreak/>
        <w:t xml:space="preserve">been involved in student ratings or otherwise had some investment in the student rating system. </w:t>
      </w:r>
      <w:r w:rsidR="00911B2E" w:rsidRPr="00EE22C4">
        <w:rPr>
          <w:sz w:val="24"/>
        </w:rPr>
        <w:t xml:space="preserve">A partial list of those consulted include: </w:t>
      </w:r>
    </w:p>
    <w:p w:rsidR="00EE22C4" w:rsidRDefault="00F205C8" w:rsidP="00EE22C4">
      <w:pPr>
        <w:pStyle w:val="ListParagraph"/>
        <w:numPr>
          <w:ilvl w:val="0"/>
          <w:numId w:val="2"/>
        </w:numPr>
        <w:rPr>
          <w:sz w:val="24"/>
        </w:rPr>
      </w:pPr>
      <w:r w:rsidRPr="00EE22C4">
        <w:rPr>
          <w:sz w:val="24"/>
        </w:rPr>
        <w:t xml:space="preserve">Director of the Office of </w:t>
      </w:r>
      <w:r w:rsidR="00EE22C4" w:rsidRPr="00EE22C4">
        <w:rPr>
          <w:sz w:val="24"/>
        </w:rPr>
        <w:t>Institutional</w:t>
      </w:r>
      <w:r w:rsidRPr="00EE22C4">
        <w:rPr>
          <w:sz w:val="24"/>
        </w:rPr>
        <w:t xml:space="preserve"> Effectiveness (</w:t>
      </w:r>
      <w:proofErr w:type="spellStart"/>
      <w:r w:rsidRPr="00EE22C4">
        <w:rPr>
          <w:sz w:val="24"/>
        </w:rPr>
        <w:t>Xuanning</w:t>
      </w:r>
      <w:proofErr w:type="spellEnd"/>
      <w:r w:rsidRPr="00EE22C4">
        <w:rPr>
          <w:sz w:val="24"/>
        </w:rPr>
        <w:t xml:space="preserve"> Fu), </w:t>
      </w:r>
    </w:p>
    <w:p w:rsidR="00EE22C4" w:rsidRDefault="00F205C8" w:rsidP="00EE22C4">
      <w:pPr>
        <w:pStyle w:val="ListParagraph"/>
        <w:numPr>
          <w:ilvl w:val="0"/>
          <w:numId w:val="2"/>
        </w:numPr>
        <w:rPr>
          <w:sz w:val="24"/>
        </w:rPr>
      </w:pPr>
      <w:r w:rsidRPr="00EE22C4">
        <w:rPr>
          <w:sz w:val="24"/>
        </w:rPr>
        <w:t xml:space="preserve">staff member who coordinated evaluations prior to our move to IDEA (Maria </w:t>
      </w:r>
      <w:r w:rsidR="00EE22C4">
        <w:rPr>
          <w:sz w:val="24"/>
        </w:rPr>
        <w:t>Fernandez</w:t>
      </w:r>
      <w:r w:rsidRPr="00EE22C4">
        <w:rPr>
          <w:sz w:val="24"/>
        </w:rPr>
        <w:t xml:space="preserve">), </w:t>
      </w:r>
    </w:p>
    <w:p w:rsidR="00EE22C4" w:rsidRDefault="00F205C8" w:rsidP="00EE22C4">
      <w:pPr>
        <w:pStyle w:val="ListParagraph"/>
        <w:numPr>
          <w:ilvl w:val="0"/>
          <w:numId w:val="2"/>
        </w:numPr>
        <w:rPr>
          <w:sz w:val="24"/>
        </w:rPr>
      </w:pPr>
      <w:r w:rsidRPr="00EE22C4">
        <w:rPr>
          <w:sz w:val="24"/>
        </w:rPr>
        <w:t>the AVP of</w:t>
      </w:r>
      <w:r w:rsidR="00D40373">
        <w:rPr>
          <w:sz w:val="24"/>
        </w:rPr>
        <w:t xml:space="preserve"> Faculty Affairs (Rudy Sanchez)</w:t>
      </w:r>
      <w:r w:rsidRPr="00EE22C4">
        <w:rPr>
          <w:sz w:val="24"/>
        </w:rPr>
        <w:t xml:space="preserve"> </w:t>
      </w:r>
    </w:p>
    <w:p w:rsidR="00EE22C4" w:rsidRDefault="00911B2E" w:rsidP="00EE22C4">
      <w:pPr>
        <w:pStyle w:val="ListParagraph"/>
        <w:numPr>
          <w:ilvl w:val="0"/>
          <w:numId w:val="2"/>
        </w:numPr>
        <w:rPr>
          <w:sz w:val="24"/>
        </w:rPr>
      </w:pPr>
      <w:r w:rsidRPr="00EE22C4">
        <w:rPr>
          <w:sz w:val="24"/>
        </w:rPr>
        <w:t>Chair of the Personnel Committee who has  worked to revise the policy on evaluation of stu</w:t>
      </w:r>
      <w:r w:rsidR="00D40373">
        <w:rPr>
          <w:sz w:val="24"/>
        </w:rPr>
        <w:t xml:space="preserve">dent ratings (Brian </w:t>
      </w:r>
      <w:proofErr w:type="spellStart"/>
      <w:r w:rsidR="00D40373">
        <w:rPr>
          <w:sz w:val="24"/>
        </w:rPr>
        <w:t>Tsukimura</w:t>
      </w:r>
      <w:proofErr w:type="spellEnd"/>
      <w:r w:rsidR="00D40373">
        <w:rPr>
          <w:sz w:val="24"/>
        </w:rPr>
        <w:t>)</w:t>
      </w:r>
    </w:p>
    <w:p w:rsidR="00EE22C4" w:rsidRDefault="00D40373" w:rsidP="00EE22C4">
      <w:pPr>
        <w:pStyle w:val="ListParagraph"/>
        <w:numPr>
          <w:ilvl w:val="0"/>
          <w:numId w:val="2"/>
        </w:numPr>
        <w:rPr>
          <w:sz w:val="24"/>
        </w:rPr>
      </w:pPr>
      <w:r>
        <w:rPr>
          <w:sz w:val="24"/>
        </w:rPr>
        <w:t>staff member who</w:t>
      </w:r>
      <w:r w:rsidR="00F205C8" w:rsidRPr="00EE22C4">
        <w:rPr>
          <w:sz w:val="24"/>
        </w:rPr>
        <w:t xml:space="preserve"> coordinate</w:t>
      </w:r>
      <w:r>
        <w:rPr>
          <w:sz w:val="24"/>
        </w:rPr>
        <w:t>d</w:t>
      </w:r>
      <w:r w:rsidR="00F205C8" w:rsidRPr="00EE22C4">
        <w:rPr>
          <w:sz w:val="24"/>
        </w:rPr>
        <w:t xml:space="preserve"> online evaluations in </w:t>
      </w:r>
      <w:r>
        <w:rPr>
          <w:sz w:val="24"/>
        </w:rPr>
        <w:t>the IDEA system (</w:t>
      </w:r>
      <w:proofErr w:type="spellStart"/>
      <w:r>
        <w:rPr>
          <w:sz w:val="24"/>
        </w:rPr>
        <w:t>JoLynne</w:t>
      </w:r>
      <w:proofErr w:type="spellEnd"/>
      <w:r>
        <w:rPr>
          <w:sz w:val="24"/>
        </w:rPr>
        <w:t xml:space="preserve"> Blake)</w:t>
      </w:r>
    </w:p>
    <w:p w:rsidR="00EE22C4" w:rsidRDefault="00F205C8" w:rsidP="00EE22C4">
      <w:pPr>
        <w:pStyle w:val="ListParagraph"/>
        <w:numPr>
          <w:ilvl w:val="0"/>
          <w:numId w:val="2"/>
        </w:numPr>
        <w:rPr>
          <w:sz w:val="24"/>
        </w:rPr>
      </w:pPr>
      <w:r w:rsidRPr="00EE22C4">
        <w:rPr>
          <w:sz w:val="24"/>
        </w:rPr>
        <w:t xml:space="preserve">staff member who </w:t>
      </w:r>
      <w:r w:rsidR="00911B2E" w:rsidRPr="00EE22C4">
        <w:rPr>
          <w:sz w:val="24"/>
        </w:rPr>
        <w:t xml:space="preserve">works with </w:t>
      </w:r>
      <w:proofErr w:type="spellStart"/>
      <w:r w:rsidR="00911B2E" w:rsidRPr="00EE22C4">
        <w:rPr>
          <w:sz w:val="24"/>
        </w:rPr>
        <w:t>Qualtrics</w:t>
      </w:r>
      <w:proofErr w:type="spellEnd"/>
      <w:r w:rsidR="00911B2E" w:rsidRPr="00EE22C4">
        <w:rPr>
          <w:sz w:val="24"/>
        </w:rPr>
        <w:t xml:space="preserve"> and so might be able to create an online sys</w:t>
      </w:r>
      <w:r w:rsidR="00D40373">
        <w:rPr>
          <w:sz w:val="24"/>
        </w:rPr>
        <w:t>tem for us (Chris Hernandez)</w:t>
      </w:r>
    </w:p>
    <w:p w:rsidR="00EE22C4" w:rsidRDefault="00F971DB" w:rsidP="00EE22C4">
      <w:pPr>
        <w:pStyle w:val="ListParagraph"/>
        <w:numPr>
          <w:ilvl w:val="0"/>
          <w:numId w:val="2"/>
        </w:numPr>
        <w:rPr>
          <w:sz w:val="24"/>
        </w:rPr>
      </w:pPr>
      <w:r>
        <w:rPr>
          <w:sz w:val="24"/>
        </w:rPr>
        <w:t>r</w:t>
      </w:r>
      <w:r w:rsidR="00911B2E" w:rsidRPr="00EE22C4">
        <w:rPr>
          <w:sz w:val="24"/>
        </w:rPr>
        <w:t>epresentatives of Technology Services</w:t>
      </w:r>
      <w:r w:rsidR="004D65B3">
        <w:rPr>
          <w:sz w:val="24"/>
        </w:rPr>
        <w:t xml:space="preserve"> and </w:t>
      </w:r>
      <w:r w:rsidR="0042164C" w:rsidRPr="00EE22C4">
        <w:rPr>
          <w:sz w:val="24"/>
        </w:rPr>
        <w:t>Academic Technology (</w:t>
      </w:r>
      <w:r>
        <w:rPr>
          <w:sz w:val="24"/>
        </w:rPr>
        <w:t xml:space="preserve">Robert Guinn &amp; </w:t>
      </w:r>
      <w:r w:rsidR="00D40373">
        <w:rPr>
          <w:sz w:val="24"/>
        </w:rPr>
        <w:t xml:space="preserve">Brent </w:t>
      </w:r>
      <w:proofErr w:type="spellStart"/>
      <w:r w:rsidR="00D40373">
        <w:rPr>
          <w:sz w:val="24"/>
        </w:rPr>
        <w:t>Aurenheimer</w:t>
      </w:r>
      <w:proofErr w:type="spellEnd"/>
      <w:r w:rsidR="00D40373">
        <w:rPr>
          <w:sz w:val="24"/>
        </w:rPr>
        <w:t>)</w:t>
      </w:r>
    </w:p>
    <w:p w:rsidR="00F205C8" w:rsidRPr="00EE22C4" w:rsidRDefault="00911B2E" w:rsidP="00EE22C4">
      <w:pPr>
        <w:pStyle w:val="ListParagraph"/>
        <w:numPr>
          <w:ilvl w:val="0"/>
          <w:numId w:val="2"/>
        </w:numPr>
        <w:rPr>
          <w:sz w:val="24"/>
        </w:rPr>
      </w:pPr>
      <w:r w:rsidRPr="00EE22C4">
        <w:rPr>
          <w:sz w:val="24"/>
        </w:rPr>
        <w:t>Director of the Center for Fac</w:t>
      </w:r>
      <w:r w:rsidR="00D40373">
        <w:rPr>
          <w:sz w:val="24"/>
        </w:rPr>
        <w:t xml:space="preserve">ulty Excellence (Bryan </w:t>
      </w:r>
      <w:proofErr w:type="spellStart"/>
      <w:r w:rsidR="00D40373">
        <w:rPr>
          <w:sz w:val="24"/>
        </w:rPr>
        <w:t>Berrett</w:t>
      </w:r>
      <w:proofErr w:type="spellEnd"/>
      <w:r w:rsidR="00D40373">
        <w:rPr>
          <w:sz w:val="24"/>
        </w:rPr>
        <w:t>)</w:t>
      </w:r>
      <w:r w:rsidRPr="00EE22C4">
        <w:rPr>
          <w:sz w:val="24"/>
        </w:rPr>
        <w:t xml:space="preserve"> </w:t>
      </w:r>
    </w:p>
    <w:p w:rsidR="00911B2E" w:rsidRDefault="00C435F2" w:rsidP="00F205C8">
      <w:r w:rsidRPr="00EE22C4">
        <w:rPr>
          <w:sz w:val="24"/>
        </w:rPr>
        <w:t>In August 2018, members of the task force visited the faculty assemblies of all colleges but t</w:t>
      </w:r>
      <w:r w:rsidR="00D40373">
        <w:rPr>
          <w:sz w:val="24"/>
        </w:rPr>
        <w:t xml:space="preserve">wo. In the subsequent weeks, task force members </w:t>
      </w:r>
      <w:r w:rsidRPr="00EE22C4">
        <w:rPr>
          <w:sz w:val="24"/>
        </w:rPr>
        <w:t xml:space="preserve">visited meetings of the chairs for those </w:t>
      </w:r>
      <w:r w:rsidR="00F971DB">
        <w:rPr>
          <w:sz w:val="24"/>
        </w:rPr>
        <w:t xml:space="preserve">two </w:t>
      </w:r>
      <w:r w:rsidRPr="00EE22C4">
        <w:rPr>
          <w:sz w:val="24"/>
        </w:rPr>
        <w:t>colleges</w:t>
      </w:r>
      <w:r w:rsidR="00D40373">
        <w:rPr>
          <w:sz w:val="24"/>
        </w:rPr>
        <w:t>, as well as a meeting of the California Faculty Association</w:t>
      </w:r>
      <w:r w:rsidRPr="00EE22C4">
        <w:rPr>
          <w:sz w:val="24"/>
        </w:rPr>
        <w:t xml:space="preserve">. We provided information about our task and </w:t>
      </w:r>
      <w:r w:rsidR="0042164C" w:rsidRPr="00EE22C4">
        <w:rPr>
          <w:sz w:val="24"/>
        </w:rPr>
        <w:t xml:space="preserve">asked for input in the most general way. </w:t>
      </w:r>
      <w:r w:rsidR="00D40373">
        <w:rPr>
          <w:sz w:val="24"/>
        </w:rPr>
        <w:t xml:space="preserve">All of that </w:t>
      </w:r>
      <w:r w:rsidRPr="00EE22C4">
        <w:rPr>
          <w:sz w:val="24"/>
        </w:rPr>
        <w:t xml:space="preserve">background gave us the context we needed to consider a reasonable proposal. </w:t>
      </w:r>
    </w:p>
    <w:p w:rsidR="008E279D" w:rsidRPr="00EE22C4" w:rsidRDefault="00EE22C4">
      <w:pPr>
        <w:rPr>
          <w:b/>
          <w:sz w:val="36"/>
        </w:rPr>
      </w:pPr>
      <w:r w:rsidRPr="00EE22C4">
        <w:rPr>
          <w:b/>
          <w:sz w:val="36"/>
        </w:rPr>
        <w:t xml:space="preserve">Scale Construction </w:t>
      </w:r>
    </w:p>
    <w:p w:rsidR="00EE22C4" w:rsidRDefault="00EE22C4" w:rsidP="00EE22C4">
      <w:pPr>
        <w:rPr>
          <w:sz w:val="24"/>
        </w:rPr>
      </w:pPr>
      <w:r w:rsidRPr="00EE22C4">
        <w:rPr>
          <w:sz w:val="24"/>
        </w:rPr>
        <w:t xml:space="preserve">In </w:t>
      </w:r>
      <w:proofErr w:type="gramStart"/>
      <w:r w:rsidRPr="00EE22C4">
        <w:rPr>
          <w:sz w:val="24"/>
        </w:rPr>
        <w:t>Fall</w:t>
      </w:r>
      <w:proofErr w:type="gramEnd"/>
      <w:r w:rsidRPr="00EE22C4">
        <w:rPr>
          <w:sz w:val="24"/>
        </w:rPr>
        <w:t xml:space="preserve"> semester 2018, the task force met weekly, during which time </w:t>
      </w:r>
      <w:r w:rsidR="00F971DB">
        <w:rPr>
          <w:sz w:val="24"/>
        </w:rPr>
        <w:t xml:space="preserve">we </w:t>
      </w:r>
      <w:r>
        <w:rPr>
          <w:sz w:val="24"/>
        </w:rPr>
        <w:t xml:space="preserve">generated a structure for </w:t>
      </w:r>
      <w:r w:rsidR="004D65B3">
        <w:rPr>
          <w:sz w:val="24"/>
        </w:rPr>
        <w:t xml:space="preserve">a </w:t>
      </w:r>
      <w:r>
        <w:rPr>
          <w:sz w:val="24"/>
        </w:rPr>
        <w:t>new ratings instrument that would meet the requirements of the APM, and identified specific items to be included.</w:t>
      </w:r>
    </w:p>
    <w:p w:rsidR="00B540C6" w:rsidRDefault="00B540C6" w:rsidP="00EE22C4">
      <w:pPr>
        <w:rPr>
          <w:sz w:val="24"/>
        </w:rPr>
      </w:pPr>
      <w:r>
        <w:rPr>
          <w:sz w:val="24"/>
        </w:rPr>
        <w:t xml:space="preserve">The APM 322 (Policy on the Assessment of Teaching Effectiveness) requires that </w:t>
      </w:r>
      <w:r w:rsidR="00B4108A">
        <w:rPr>
          <w:sz w:val="24"/>
        </w:rPr>
        <w:t xml:space="preserve">student ratings </w:t>
      </w:r>
      <w:r>
        <w:rPr>
          <w:sz w:val="24"/>
        </w:rPr>
        <w:t xml:space="preserve">address </w:t>
      </w:r>
      <w:r w:rsidR="00B4108A">
        <w:rPr>
          <w:sz w:val="24"/>
        </w:rPr>
        <w:t xml:space="preserve">three </w:t>
      </w:r>
      <w:r>
        <w:rPr>
          <w:sz w:val="24"/>
        </w:rPr>
        <w:t xml:space="preserve">elements of instruction: </w:t>
      </w:r>
    </w:p>
    <w:p w:rsidR="00B540C6" w:rsidRDefault="00B540C6" w:rsidP="00B540C6">
      <w:pPr>
        <w:pStyle w:val="ListParagraph"/>
        <w:numPr>
          <w:ilvl w:val="0"/>
          <w:numId w:val="3"/>
        </w:numPr>
        <w:rPr>
          <w:sz w:val="24"/>
        </w:rPr>
      </w:pPr>
      <w:r>
        <w:rPr>
          <w:sz w:val="24"/>
        </w:rPr>
        <w:t xml:space="preserve">Instructional Design, which includes the learning objectives, the syllabus, materials, and organization. </w:t>
      </w:r>
    </w:p>
    <w:p w:rsidR="00B540C6" w:rsidRDefault="00B540C6" w:rsidP="00B540C6">
      <w:pPr>
        <w:pStyle w:val="ListParagraph"/>
        <w:numPr>
          <w:ilvl w:val="0"/>
          <w:numId w:val="3"/>
        </w:numPr>
        <w:rPr>
          <w:sz w:val="24"/>
        </w:rPr>
      </w:pPr>
      <w:r>
        <w:rPr>
          <w:sz w:val="24"/>
        </w:rPr>
        <w:t>Instructional Delivery, which includes s</w:t>
      </w:r>
      <w:r w:rsidR="00B4108A">
        <w:rPr>
          <w:sz w:val="24"/>
        </w:rPr>
        <w:t xml:space="preserve">trategies and management of the </w:t>
      </w:r>
      <w:r>
        <w:rPr>
          <w:sz w:val="24"/>
        </w:rPr>
        <w:t xml:space="preserve">classroom setting. </w:t>
      </w:r>
    </w:p>
    <w:p w:rsidR="00B540C6" w:rsidRPr="00B540C6" w:rsidRDefault="00B540C6" w:rsidP="00B540C6">
      <w:pPr>
        <w:pStyle w:val="ListParagraph"/>
        <w:numPr>
          <w:ilvl w:val="0"/>
          <w:numId w:val="3"/>
        </w:numPr>
        <w:rPr>
          <w:sz w:val="24"/>
        </w:rPr>
      </w:pPr>
      <w:r>
        <w:rPr>
          <w:sz w:val="24"/>
        </w:rPr>
        <w:t>Asse</w:t>
      </w:r>
      <w:r w:rsidR="00B4108A">
        <w:rPr>
          <w:sz w:val="24"/>
        </w:rPr>
        <w:t xml:space="preserve">ssment, which includes measurement of </w:t>
      </w:r>
      <w:r>
        <w:rPr>
          <w:sz w:val="24"/>
        </w:rPr>
        <w:t>stud</w:t>
      </w:r>
      <w:r w:rsidR="00B4108A">
        <w:rPr>
          <w:sz w:val="24"/>
        </w:rPr>
        <w:t>ent</w:t>
      </w:r>
      <w:r>
        <w:rPr>
          <w:sz w:val="24"/>
        </w:rPr>
        <w:t xml:space="preserve"> learning and feedback to students about their performance. </w:t>
      </w:r>
    </w:p>
    <w:p w:rsidR="00B540C6" w:rsidRDefault="00EE22C4" w:rsidP="00EE22C4">
      <w:pPr>
        <w:rPr>
          <w:sz w:val="24"/>
        </w:rPr>
      </w:pPr>
      <w:r>
        <w:rPr>
          <w:sz w:val="24"/>
        </w:rPr>
        <w:t>The APM requires that the instrument consist of a pool of items (approved by the Academic Senate</w:t>
      </w:r>
      <w:r w:rsidR="00656022">
        <w:rPr>
          <w:sz w:val="24"/>
        </w:rPr>
        <w:t xml:space="preserve"> and Provost</w:t>
      </w:r>
      <w:r>
        <w:rPr>
          <w:sz w:val="24"/>
        </w:rPr>
        <w:t>) from which depa</w:t>
      </w:r>
      <w:r w:rsidR="00B540C6">
        <w:rPr>
          <w:sz w:val="24"/>
        </w:rPr>
        <w:t>rtments may choose</w:t>
      </w:r>
      <w:r w:rsidR="00D40373">
        <w:rPr>
          <w:sz w:val="24"/>
        </w:rPr>
        <w:t xml:space="preserve"> items</w:t>
      </w:r>
      <w:r w:rsidR="00B540C6">
        <w:rPr>
          <w:sz w:val="24"/>
        </w:rPr>
        <w:t>, so that the</w:t>
      </w:r>
      <w:r>
        <w:rPr>
          <w:sz w:val="24"/>
        </w:rPr>
        <w:t xml:space="preserve"> instrument can be cust</w:t>
      </w:r>
      <w:r w:rsidR="00B540C6">
        <w:rPr>
          <w:sz w:val="24"/>
        </w:rPr>
        <w:t>omized</w:t>
      </w:r>
      <w:r>
        <w:rPr>
          <w:sz w:val="24"/>
        </w:rPr>
        <w:t xml:space="preserve">. The APM also requires that the instrument have demonstrated reliability and validity.  </w:t>
      </w:r>
    </w:p>
    <w:p w:rsidR="00EE22C4" w:rsidRDefault="00F971DB" w:rsidP="00EE22C4">
      <w:pPr>
        <w:rPr>
          <w:sz w:val="24"/>
        </w:rPr>
      </w:pPr>
      <w:r>
        <w:rPr>
          <w:sz w:val="24"/>
        </w:rPr>
        <w:lastRenderedPageBreak/>
        <w:t xml:space="preserve">In order to simultaneously meet </w:t>
      </w:r>
      <w:r w:rsidR="004D65B3">
        <w:rPr>
          <w:sz w:val="24"/>
        </w:rPr>
        <w:t xml:space="preserve">all of </w:t>
      </w:r>
      <w:r>
        <w:rPr>
          <w:sz w:val="24"/>
        </w:rPr>
        <w:t xml:space="preserve">these requirements, we settled on the </w:t>
      </w:r>
      <w:r w:rsidR="00B540C6">
        <w:rPr>
          <w:sz w:val="24"/>
        </w:rPr>
        <w:t xml:space="preserve">strategy of creating multiple small pools of items. That way, </w:t>
      </w:r>
      <w:r w:rsidR="00656022">
        <w:rPr>
          <w:sz w:val="24"/>
        </w:rPr>
        <w:t>c</w:t>
      </w:r>
      <w:r w:rsidR="00B540C6">
        <w:rPr>
          <w:sz w:val="24"/>
        </w:rPr>
        <w:t xml:space="preserve">hoice of items is available, but each pool will be small enough that the reliability of </w:t>
      </w:r>
      <w:r w:rsidR="00656022">
        <w:rPr>
          <w:sz w:val="24"/>
        </w:rPr>
        <w:t>the scale c</w:t>
      </w:r>
      <w:r w:rsidR="00B540C6">
        <w:rPr>
          <w:sz w:val="24"/>
        </w:rPr>
        <w:t>an be demonstrated</w:t>
      </w:r>
      <w:r w:rsidR="00656022">
        <w:rPr>
          <w:sz w:val="24"/>
        </w:rPr>
        <w:t xml:space="preserve"> with and without the optional items</w:t>
      </w:r>
      <w:r w:rsidR="00B540C6">
        <w:rPr>
          <w:sz w:val="24"/>
        </w:rPr>
        <w:t xml:space="preserve">. </w:t>
      </w:r>
    </w:p>
    <w:p w:rsidR="00B540C6" w:rsidRDefault="00B540C6" w:rsidP="00EE22C4">
      <w:pPr>
        <w:rPr>
          <w:sz w:val="24"/>
        </w:rPr>
      </w:pPr>
      <w:r>
        <w:rPr>
          <w:sz w:val="24"/>
        </w:rPr>
        <w:t xml:space="preserve">As for the nature of the items to be included, we established the following principles. We would ask about: </w:t>
      </w:r>
    </w:p>
    <w:p w:rsidR="00B540C6" w:rsidRDefault="00B540C6" w:rsidP="004D65B3">
      <w:pPr>
        <w:pStyle w:val="ListParagraph"/>
        <w:numPr>
          <w:ilvl w:val="0"/>
          <w:numId w:val="4"/>
        </w:numPr>
        <w:rPr>
          <w:sz w:val="24"/>
        </w:rPr>
      </w:pPr>
      <w:r w:rsidRPr="007C757A">
        <w:rPr>
          <w:sz w:val="24"/>
          <w:u w:val="single"/>
        </w:rPr>
        <w:t>Directly observable behaviors</w:t>
      </w:r>
      <w:r w:rsidR="007C757A">
        <w:rPr>
          <w:sz w:val="24"/>
        </w:rPr>
        <w:t xml:space="preserve"> that are reasonably</w:t>
      </w:r>
      <w:r w:rsidR="00D40373">
        <w:rPr>
          <w:sz w:val="24"/>
        </w:rPr>
        <w:t xml:space="preserve"> objective and</w:t>
      </w:r>
      <w:r>
        <w:rPr>
          <w:sz w:val="24"/>
        </w:rPr>
        <w:t xml:space="preserve"> that students could report on</w:t>
      </w:r>
      <w:r w:rsidR="00D40373">
        <w:rPr>
          <w:sz w:val="24"/>
        </w:rPr>
        <w:t xml:space="preserve"> based on their direct experience</w:t>
      </w:r>
      <w:r>
        <w:rPr>
          <w:sz w:val="24"/>
        </w:rPr>
        <w:t xml:space="preserve">. </w:t>
      </w:r>
      <w:r w:rsidR="00B4108A">
        <w:rPr>
          <w:sz w:val="24"/>
        </w:rPr>
        <w:t xml:space="preserve">We wanted to exclude items asking about how knowledgeable </w:t>
      </w:r>
      <w:r w:rsidR="004D65B3">
        <w:rPr>
          <w:sz w:val="24"/>
        </w:rPr>
        <w:t xml:space="preserve">or caring </w:t>
      </w:r>
      <w:r w:rsidR="00B4108A">
        <w:rPr>
          <w:sz w:val="24"/>
        </w:rPr>
        <w:t xml:space="preserve">the instructor is, for instance, because that requires students to make inferences and judgements rather than to simply report what happens. </w:t>
      </w:r>
      <w:r>
        <w:rPr>
          <w:sz w:val="24"/>
        </w:rPr>
        <w:t xml:space="preserve"> </w:t>
      </w:r>
    </w:p>
    <w:p w:rsidR="00B4108A" w:rsidRDefault="00B4108A" w:rsidP="00B4108A">
      <w:pPr>
        <w:pStyle w:val="ListParagraph"/>
        <w:rPr>
          <w:sz w:val="24"/>
        </w:rPr>
      </w:pPr>
    </w:p>
    <w:p w:rsidR="00B4108A" w:rsidRDefault="00B4108A" w:rsidP="00B540C6">
      <w:pPr>
        <w:pStyle w:val="ListParagraph"/>
        <w:numPr>
          <w:ilvl w:val="0"/>
          <w:numId w:val="4"/>
        </w:numPr>
        <w:rPr>
          <w:sz w:val="24"/>
        </w:rPr>
      </w:pPr>
      <w:r>
        <w:rPr>
          <w:sz w:val="24"/>
        </w:rPr>
        <w:t xml:space="preserve">Instructor behaviors that have been established, in published empirical research, to enhance learning. In other words, the </w:t>
      </w:r>
      <w:r w:rsidR="00656022">
        <w:rPr>
          <w:sz w:val="24"/>
        </w:rPr>
        <w:t xml:space="preserve">instrument </w:t>
      </w:r>
      <w:r>
        <w:rPr>
          <w:sz w:val="24"/>
        </w:rPr>
        <w:t xml:space="preserve">will ask </w:t>
      </w:r>
      <w:r w:rsidR="00656022">
        <w:rPr>
          <w:sz w:val="24"/>
        </w:rPr>
        <w:t xml:space="preserve">only </w:t>
      </w:r>
      <w:r>
        <w:rPr>
          <w:sz w:val="24"/>
        </w:rPr>
        <w:t xml:space="preserve">about </w:t>
      </w:r>
      <w:r w:rsidRPr="007C757A">
        <w:rPr>
          <w:sz w:val="24"/>
          <w:u w:val="single"/>
        </w:rPr>
        <w:t>evidence-based teaching best practices</w:t>
      </w:r>
      <w:r>
        <w:rPr>
          <w:sz w:val="24"/>
        </w:rPr>
        <w:t xml:space="preserve">. We identified the following practices as evidence-based practices in each of the following areas: </w:t>
      </w:r>
    </w:p>
    <w:p w:rsidR="00B4108A" w:rsidRPr="00B4108A" w:rsidRDefault="00B4108A" w:rsidP="00B4108A">
      <w:pPr>
        <w:pStyle w:val="ListParagraph"/>
        <w:rPr>
          <w:sz w:val="24"/>
        </w:rPr>
      </w:pPr>
    </w:p>
    <w:p w:rsidR="00B4108A" w:rsidRPr="00D108FF" w:rsidRDefault="00B4108A" w:rsidP="00597F3B">
      <w:pPr>
        <w:pStyle w:val="ListParagraph"/>
        <w:rPr>
          <w:sz w:val="24"/>
          <w:u w:val="single"/>
        </w:rPr>
      </w:pPr>
      <w:r w:rsidRPr="00D108FF">
        <w:rPr>
          <w:sz w:val="24"/>
          <w:u w:val="single"/>
        </w:rPr>
        <w:t>Instructional Design:</w:t>
      </w:r>
    </w:p>
    <w:p w:rsidR="00B4108A" w:rsidRDefault="00B4108A" w:rsidP="00597F3B">
      <w:pPr>
        <w:pStyle w:val="ListParagraph"/>
        <w:numPr>
          <w:ilvl w:val="2"/>
          <w:numId w:val="5"/>
        </w:numPr>
        <w:ind w:left="1080"/>
        <w:rPr>
          <w:sz w:val="24"/>
        </w:rPr>
      </w:pPr>
      <w:r>
        <w:rPr>
          <w:sz w:val="24"/>
        </w:rPr>
        <w:t xml:space="preserve">Learning objectives are clear in advance so that students know the goal of their studies. </w:t>
      </w:r>
    </w:p>
    <w:p w:rsidR="00B4108A" w:rsidRDefault="00B4108A" w:rsidP="00597F3B">
      <w:pPr>
        <w:pStyle w:val="ListParagraph"/>
        <w:numPr>
          <w:ilvl w:val="2"/>
          <w:numId w:val="5"/>
        </w:numPr>
        <w:ind w:left="1080"/>
        <w:rPr>
          <w:sz w:val="24"/>
        </w:rPr>
      </w:pPr>
      <w:r>
        <w:rPr>
          <w:sz w:val="24"/>
        </w:rPr>
        <w:t xml:space="preserve">The syllabus is accurate and provides enough information for students to understand expectations. </w:t>
      </w:r>
    </w:p>
    <w:p w:rsidR="007C757A" w:rsidRDefault="007C757A" w:rsidP="00597F3B">
      <w:pPr>
        <w:pStyle w:val="ListParagraph"/>
        <w:numPr>
          <w:ilvl w:val="2"/>
          <w:numId w:val="5"/>
        </w:numPr>
        <w:ind w:left="1080"/>
        <w:rPr>
          <w:sz w:val="24"/>
        </w:rPr>
      </w:pPr>
      <w:r>
        <w:rPr>
          <w:sz w:val="24"/>
        </w:rPr>
        <w:t xml:space="preserve">Course materials </w:t>
      </w:r>
      <w:r w:rsidR="00D40373">
        <w:rPr>
          <w:sz w:val="24"/>
        </w:rPr>
        <w:t>are aligned with</w:t>
      </w:r>
      <w:r>
        <w:rPr>
          <w:sz w:val="24"/>
        </w:rPr>
        <w:t xml:space="preserve"> course content. </w:t>
      </w:r>
    </w:p>
    <w:p w:rsidR="007C757A" w:rsidRDefault="007C757A" w:rsidP="00597F3B">
      <w:pPr>
        <w:pStyle w:val="ListParagraph"/>
        <w:numPr>
          <w:ilvl w:val="2"/>
          <w:numId w:val="5"/>
        </w:numPr>
        <w:ind w:left="1080"/>
        <w:rPr>
          <w:sz w:val="24"/>
        </w:rPr>
      </w:pPr>
      <w:r>
        <w:rPr>
          <w:sz w:val="24"/>
        </w:rPr>
        <w:t xml:space="preserve">Organization of the course is logical and clear.  </w:t>
      </w:r>
    </w:p>
    <w:p w:rsidR="00656022" w:rsidRDefault="00656022" w:rsidP="00597F3B">
      <w:pPr>
        <w:pStyle w:val="ListParagraph"/>
        <w:rPr>
          <w:sz w:val="24"/>
          <w:u w:val="single"/>
        </w:rPr>
      </w:pPr>
    </w:p>
    <w:p w:rsidR="00B4108A" w:rsidRPr="00D108FF" w:rsidRDefault="007C757A" w:rsidP="00597F3B">
      <w:pPr>
        <w:pStyle w:val="ListParagraph"/>
        <w:rPr>
          <w:sz w:val="24"/>
          <w:u w:val="single"/>
        </w:rPr>
      </w:pPr>
      <w:r w:rsidRPr="00D108FF">
        <w:rPr>
          <w:sz w:val="24"/>
          <w:u w:val="single"/>
        </w:rPr>
        <w:t xml:space="preserve">Instructional Delivery: </w:t>
      </w:r>
    </w:p>
    <w:p w:rsidR="007C757A" w:rsidRDefault="007C757A" w:rsidP="00597F3B">
      <w:pPr>
        <w:pStyle w:val="ListParagraph"/>
        <w:numPr>
          <w:ilvl w:val="2"/>
          <w:numId w:val="5"/>
        </w:numPr>
        <w:ind w:left="1080"/>
        <w:rPr>
          <w:sz w:val="24"/>
        </w:rPr>
      </w:pPr>
      <w:r>
        <w:rPr>
          <w:sz w:val="24"/>
        </w:rPr>
        <w:t>Scaffolding is used, such that new informa</w:t>
      </w:r>
      <w:r w:rsidR="00D40373">
        <w:rPr>
          <w:sz w:val="24"/>
        </w:rPr>
        <w:t>tion is connected to prior</w:t>
      </w:r>
      <w:r>
        <w:rPr>
          <w:sz w:val="24"/>
        </w:rPr>
        <w:t xml:space="preserve"> knowledge. </w:t>
      </w:r>
    </w:p>
    <w:p w:rsidR="007C757A" w:rsidRDefault="007C757A" w:rsidP="00597F3B">
      <w:pPr>
        <w:pStyle w:val="ListParagraph"/>
        <w:numPr>
          <w:ilvl w:val="2"/>
          <w:numId w:val="5"/>
        </w:numPr>
        <w:ind w:left="1080"/>
        <w:rPr>
          <w:sz w:val="24"/>
        </w:rPr>
      </w:pPr>
      <w:r>
        <w:rPr>
          <w:sz w:val="24"/>
        </w:rPr>
        <w:t xml:space="preserve">Active learning strategies are used, such that students help to construct knowledge. </w:t>
      </w:r>
    </w:p>
    <w:p w:rsidR="007C757A" w:rsidRDefault="00BD1F89" w:rsidP="00597F3B">
      <w:pPr>
        <w:pStyle w:val="ListParagraph"/>
        <w:numPr>
          <w:ilvl w:val="2"/>
          <w:numId w:val="5"/>
        </w:numPr>
        <w:ind w:left="1080"/>
        <w:rPr>
          <w:sz w:val="24"/>
        </w:rPr>
      </w:pPr>
      <w:r>
        <w:rPr>
          <w:sz w:val="24"/>
        </w:rPr>
        <w:t xml:space="preserve"> </w:t>
      </w:r>
      <w:r w:rsidR="007C757A">
        <w:rPr>
          <w:sz w:val="24"/>
        </w:rPr>
        <w:t xml:space="preserve">Connections are made between course content and students’ lives, so that they can see how the course is meaningful. </w:t>
      </w:r>
    </w:p>
    <w:p w:rsidR="007C757A" w:rsidRDefault="007C757A" w:rsidP="00597F3B">
      <w:pPr>
        <w:pStyle w:val="ListParagraph"/>
        <w:numPr>
          <w:ilvl w:val="2"/>
          <w:numId w:val="5"/>
        </w:numPr>
        <w:ind w:left="1080"/>
        <w:rPr>
          <w:sz w:val="24"/>
        </w:rPr>
      </w:pPr>
      <w:r>
        <w:rPr>
          <w:sz w:val="24"/>
        </w:rPr>
        <w:t xml:space="preserve">Environment is welcoming and sensitive to student needs.  </w:t>
      </w:r>
    </w:p>
    <w:p w:rsidR="00656022" w:rsidRDefault="00656022" w:rsidP="00597F3B">
      <w:pPr>
        <w:pStyle w:val="ListParagraph"/>
        <w:rPr>
          <w:sz w:val="24"/>
          <w:u w:val="single"/>
        </w:rPr>
      </w:pPr>
    </w:p>
    <w:p w:rsidR="007C757A" w:rsidRPr="00D108FF" w:rsidRDefault="007C757A" w:rsidP="00597F3B">
      <w:pPr>
        <w:pStyle w:val="ListParagraph"/>
        <w:rPr>
          <w:sz w:val="24"/>
          <w:u w:val="single"/>
        </w:rPr>
      </w:pPr>
      <w:r w:rsidRPr="00D108FF">
        <w:rPr>
          <w:sz w:val="24"/>
          <w:u w:val="single"/>
        </w:rPr>
        <w:t>Assessment:</w:t>
      </w:r>
    </w:p>
    <w:p w:rsidR="007C757A" w:rsidRDefault="007C757A" w:rsidP="00597F3B">
      <w:pPr>
        <w:pStyle w:val="ListParagraph"/>
        <w:numPr>
          <w:ilvl w:val="2"/>
          <w:numId w:val="5"/>
        </w:numPr>
        <w:ind w:left="1080"/>
        <w:rPr>
          <w:sz w:val="24"/>
        </w:rPr>
      </w:pPr>
      <w:r>
        <w:rPr>
          <w:sz w:val="24"/>
        </w:rPr>
        <w:t xml:space="preserve">Frequent, lower-stakes assessments </w:t>
      </w:r>
      <w:r w:rsidR="00C5752C">
        <w:rPr>
          <w:sz w:val="24"/>
        </w:rPr>
        <w:t xml:space="preserve">are used </w:t>
      </w:r>
      <w:r>
        <w:rPr>
          <w:sz w:val="24"/>
        </w:rPr>
        <w:t xml:space="preserve">so that improvement is possible </w:t>
      </w:r>
      <w:r w:rsidR="00C5752C">
        <w:rPr>
          <w:sz w:val="24"/>
        </w:rPr>
        <w:t xml:space="preserve">over the semester </w:t>
      </w:r>
    </w:p>
    <w:p w:rsidR="00C5752C" w:rsidRDefault="00C5752C" w:rsidP="00597F3B">
      <w:pPr>
        <w:pStyle w:val="ListParagraph"/>
        <w:numPr>
          <w:ilvl w:val="2"/>
          <w:numId w:val="5"/>
        </w:numPr>
        <w:ind w:left="1080"/>
        <w:rPr>
          <w:sz w:val="24"/>
        </w:rPr>
      </w:pPr>
      <w:r>
        <w:rPr>
          <w:sz w:val="24"/>
        </w:rPr>
        <w:t xml:space="preserve">Grading is timely such that students have adequate </w:t>
      </w:r>
      <w:r w:rsidR="00D108FF">
        <w:rPr>
          <w:sz w:val="24"/>
        </w:rPr>
        <w:t xml:space="preserve">information about how they are doing </w:t>
      </w:r>
    </w:p>
    <w:p w:rsidR="00D108FF" w:rsidRDefault="00D108FF" w:rsidP="00597F3B">
      <w:pPr>
        <w:pStyle w:val="ListParagraph"/>
        <w:numPr>
          <w:ilvl w:val="2"/>
          <w:numId w:val="5"/>
        </w:numPr>
        <w:ind w:left="1080"/>
        <w:rPr>
          <w:sz w:val="24"/>
        </w:rPr>
      </w:pPr>
      <w:r>
        <w:rPr>
          <w:sz w:val="24"/>
        </w:rPr>
        <w:t>Instructions are clear as to the purpose of graded assignments</w:t>
      </w:r>
    </w:p>
    <w:p w:rsidR="00D108FF" w:rsidRPr="00B540C6" w:rsidRDefault="00D108FF" w:rsidP="00597F3B">
      <w:pPr>
        <w:pStyle w:val="ListParagraph"/>
        <w:numPr>
          <w:ilvl w:val="2"/>
          <w:numId w:val="5"/>
        </w:numPr>
        <w:ind w:left="1080"/>
        <w:rPr>
          <w:sz w:val="24"/>
        </w:rPr>
      </w:pPr>
      <w:r>
        <w:rPr>
          <w:sz w:val="24"/>
        </w:rPr>
        <w:t xml:space="preserve">Feedback is offered that is specific and constructive </w:t>
      </w:r>
    </w:p>
    <w:p w:rsidR="00B4108A" w:rsidRDefault="00B4108A" w:rsidP="00B4108A">
      <w:pPr>
        <w:rPr>
          <w:sz w:val="24"/>
        </w:rPr>
      </w:pPr>
      <w:r w:rsidRPr="00B4108A">
        <w:rPr>
          <w:sz w:val="24"/>
        </w:rPr>
        <w:t xml:space="preserve">Furthermore, we decided that since we would not have enough time to construct items from scratch and field test them, we would use items that are already in use elsewhere. We identified several item banks made available by other universities and some that are provided in published research on student ratings. </w:t>
      </w:r>
    </w:p>
    <w:p w:rsidR="00D108FF" w:rsidRDefault="00D108FF" w:rsidP="00B4108A">
      <w:pPr>
        <w:rPr>
          <w:sz w:val="24"/>
        </w:rPr>
      </w:pPr>
      <w:r>
        <w:rPr>
          <w:sz w:val="24"/>
        </w:rPr>
        <w:t>Therefore, we combed through existing item banks to find items that fit into each of the 12 evidence-based practices described above. We occasionally made slight revisions to the existing items, but only within specific parameters. Specifically, some items were double-barreled, and so we separated them into two items. For instance: “Graded exams and assignments were returned in a timely fashion” was converted into two items: “Graded exams were returned in a timely fashion” and “</w:t>
      </w:r>
      <w:r w:rsidR="00860828">
        <w:rPr>
          <w:sz w:val="24"/>
        </w:rPr>
        <w:t>G</w:t>
      </w:r>
      <w:r>
        <w:rPr>
          <w:sz w:val="24"/>
        </w:rPr>
        <w:t>raded assignments were returned in a timely fa</w:t>
      </w:r>
      <w:r w:rsidR="00BD1F89">
        <w:rPr>
          <w:sz w:val="24"/>
        </w:rPr>
        <w:t>shion.” F</w:t>
      </w:r>
      <w:r>
        <w:rPr>
          <w:sz w:val="24"/>
        </w:rPr>
        <w:t xml:space="preserve">or the sake of consistency, we changed items so that they all referred to the “instructor” rather than the “teacher” or “professor,” and we put all items in the past tense.  Finally, we duplicated some items </w:t>
      </w:r>
      <w:r w:rsidR="004D65B3">
        <w:rPr>
          <w:sz w:val="24"/>
        </w:rPr>
        <w:t xml:space="preserve">and revised one version slightly </w:t>
      </w:r>
      <w:r>
        <w:rPr>
          <w:sz w:val="24"/>
        </w:rPr>
        <w:t xml:space="preserve">to refer specifically to labs and to off-campus site placements. For instance, we added an item that said “Graded lab reports were returned in a timely fashion.”  </w:t>
      </w:r>
    </w:p>
    <w:p w:rsidR="00C626CF" w:rsidRDefault="00943240" w:rsidP="00C626CF">
      <w:pPr>
        <w:rPr>
          <w:sz w:val="24"/>
        </w:rPr>
      </w:pPr>
      <w:r>
        <w:rPr>
          <w:sz w:val="24"/>
        </w:rPr>
        <w:t xml:space="preserve">We finished this process with a list of 66 items organized into 12 pools. </w:t>
      </w:r>
      <w:r w:rsidR="00C626CF">
        <w:rPr>
          <w:sz w:val="24"/>
        </w:rPr>
        <w:t xml:space="preserve">From among </w:t>
      </w:r>
      <w:r w:rsidR="00860828">
        <w:rPr>
          <w:sz w:val="24"/>
        </w:rPr>
        <w:t>each pool of items</w:t>
      </w:r>
      <w:r w:rsidR="00C626CF">
        <w:rPr>
          <w:sz w:val="24"/>
        </w:rPr>
        <w:t xml:space="preserve">, we selected one to serve as the default. </w:t>
      </w:r>
    </w:p>
    <w:p w:rsidR="00943240" w:rsidRPr="00B4108A" w:rsidRDefault="00C626CF" w:rsidP="00B4108A">
      <w:pPr>
        <w:rPr>
          <w:sz w:val="24"/>
        </w:rPr>
      </w:pPr>
      <w:r>
        <w:rPr>
          <w:sz w:val="24"/>
        </w:rPr>
        <w:t xml:space="preserve">We could not ask student respondents to respond to all 66 items, so we created various versions of the student ratings instrument. Each version included all 12 default items, plus 12 of the optional items. </w:t>
      </w:r>
    </w:p>
    <w:p w:rsidR="00EE22C4" w:rsidRDefault="00EE22C4"/>
    <w:p w:rsidR="00EE22C4" w:rsidRPr="00EE22C4" w:rsidRDefault="00EE22C4">
      <w:pPr>
        <w:rPr>
          <w:sz w:val="36"/>
        </w:rPr>
      </w:pPr>
      <w:r w:rsidRPr="00EE22C4">
        <w:rPr>
          <w:b/>
          <w:sz w:val="36"/>
        </w:rPr>
        <w:t xml:space="preserve">Data Collection  </w:t>
      </w:r>
    </w:p>
    <w:p w:rsidR="00821B75" w:rsidRDefault="00EE22C4">
      <w:r>
        <w:t xml:space="preserve">During </w:t>
      </w:r>
      <w:proofErr w:type="gramStart"/>
      <w:r>
        <w:t>Spring</w:t>
      </w:r>
      <w:proofErr w:type="gramEnd"/>
      <w:r>
        <w:t xml:space="preserve"> 2019, </w:t>
      </w:r>
      <w:r w:rsidR="00943240">
        <w:t xml:space="preserve">we asked </w:t>
      </w:r>
      <w:r w:rsidR="00BD1F89">
        <w:t>faculty (via the faculty list</w:t>
      </w:r>
      <w:r w:rsidR="00821B75">
        <w:t>serv and by recruitment efforts of task force members) to participate in the pilot study</w:t>
      </w:r>
      <w:r w:rsidR="00651073">
        <w:t xml:space="preserve"> of the new Fresno State Student Ratings of Instruction (FSSRI) </w:t>
      </w:r>
      <w:r w:rsidR="004D65B3">
        <w:t>questionnaire</w:t>
      </w:r>
      <w:r w:rsidR="00821B75">
        <w:t xml:space="preserve">. Participation included </w:t>
      </w:r>
      <w:r w:rsidR="0037612C">
        <w:t xml:space="preserve">53 faculty members, 81 course sections, and 2013 completed student surveys. </w:t>
      </w:r>
    </w:p>
    <w:tbl>
      <w:tblPr>
        <w:tblStyle w:val="TableGrid"/>
        <w:tblW w:w="0" w:type="auto"/>
        <w:jc w:val="center"/>
        <w:tblLook w:val="04A0" w:firstRow="1" w:lastRow="0" w:firstColumn="1" w:lastColumn="0" w:noHBand="0" w:noVBand="1"/>
      </w:tblPr>
      <w:tblGrid>
        <w:gridCol w:w="3865"/>
        <w:gridCol w:w="1455"/>
        <w:gridCol w:w="1350"/>
        <w:gridCol w:w="1440"/>
      </w:tblGrid>
      <w:tr w:rsidR="00821B75" w:rsidTr="002A6290">
        <w:trPr>
          <w:jc w:val="center"/>
        </w:trPr>
        <w:tc>
          <w:tcPr>
            <w:tcW w:w="3865" w:type="dxa"/>
            <w:shd w:val="clear" w:color="auto" w:fill="D9D9D9" w:themeFill="background1" w:themeFillShade="D9"/>
          </w:tcPr>
          <w:p w:rsidR="00821B75" w:rsidRDefault="00821B75"/>
        </w:tc>
        <w:tc>
          <w:tcPr>
            <w:tcW w:w="1455" w:type="dxa"/>
            <w:shd w:val="clear" w:color="auto" w:fill="D9D9D9" w:themeFill="background1" w:themeFillShade="D9"/>
          </w:tcPr>
          <w:p w:rsidR="00821B75" w:rsidRDefault="00821B75" w:rsidP="0037612C">
            <w:pPr>
              <w:jc w:val="center"/>
            </w:pPr>
            <w:r>
              <w:t>Participating Instructors</w:t>
            </w:r>
          </w:p>
        </w:tc>
        <w:tc>
          <w:tcPr>
            <w:tcW w:w="1350" w:type="dxa"/>
            <w:shd w:val="clear" w:color="auto" w:fill="D9D9D9" w:themeFill="background1" w:themeFillShade="D9"/>
          </w:tcPr>
          <w:p w:rsidR="00821B75" w:rsidRDefault="00821B75" w:rsidP="0037612C">
            <w:pPr>
              <w:jc w:val="center"/>
            </w:pPr>
            <w:r>
              <w:t>Participating Course Sections</w:t>
            </w:r>
          </w:p>
        </w:tc>
        <w:tc>
          <w:tcPr>
            <w:tcW w:w="1440" w:type="dxa"/>
            <w:shd w:val="clear" w:color="auto" w:fill="D9D9D9" w:themeFill="background1" w:themeFillShade="D9"/>
          </w:tcPr>
          <w:p w:rsidR="00821B75" w:rsidRDefault="00821B75" w:rsidP="0037612C">
            <w:pPr>
              <w:jc w:val="center"/>
            </w:pPr>
            <w:r>
              <w:t>Participating Students</w:t>
            </w:r>
          </w:p>
        </w:tc>
      </w:tr>
      <w:tr w:rsidR="00821B75" w:rsidTr="002A6290">
        <w:trPr>
          <w:jc w:val="center"/>
        </w:trPr>
        <w:tc>
          <w:tcPr>
            <w:tcW w:w="3865" w:type="dxa"/>
            <w:vAlign w:val="center"/>
          </w:tcPr>
          <w:p w:rsidR="00821B75" w:rsidRDefault="00821B75" w:rsidP="00610164">
            <w:r>
              <w:t>Jordan</w:t>
            </w:r>
            <w:r w:rsidR="00610164">
              <w:t xml:space="preserve"> </w:t>
            </w:r>
            <w:r w:rsidR="00DD62A2">
              <w:t>College</w:t>
            </w:r>
          </w:p>
        </w:tc>
        <w:tc>
          <w:tcPr>
            <w:tcW w:w="1455" w:type="dxa"/>
            <w:vAlign w:val="center"/>
          </w:tcPr>
          <w:p w:rsidR="00821B75" w:rsidRDefault="0080710A" w:rsidP="00610164">
            <w:pPr>
              <w:jc w:val="center"/>
            </w:pPr>
            <w:r>
              <w:t>10</w:t>
            </w:r>
          </w:p>
        </w:tc>
        <w:tc>
          <w:tcPr>
            <w:tcW w:w="1350" w:type="dxa"/>
            <w:vAlign w:val="center"/>
          </w:tcPr>
          <w:p w:rsidR="00821B75" w:rsidRDefault="00821B75" w:rsidP="00610164">
            <w:pPr>
              <w:jc w:val="center"/>
            </w:pPr>
            <w:r>
              <w:t>15</w:t>
            </w:r>
          </w:p>
        </w:tc>
        <w:tc>
          <w:tcPr>
            <w:tcW w:w="1440" w:type="dxa"/>
            <w:vAlign w:val="center"/>
          </w:tcPr>
          <w:p w:rsidR="00821B75" w:rsidRDefault="00610164" w:rsidP="00610164">
            <w:pPr>
              <w:jc w:val="center"/>
            </w:pPr>
            <w:r>
              <w:t>374</w:t>
            </w:r>
          </w:p>
        </w:tc>
      </w:tr>
      <w:tr w:rsidR="00821B75" w:rsidTr="002A6290">
        <w:trPr>
          <w:jc w:val="center"/>
        </w:trPr>
        <w:tc>
          <w:tcPr>
            <w:tcW w:w="3865" w:type="dxa"/>
            <w:vAlign w:val="center"/>
          </w:tcPr>
          <w:p w:rsidR="00821B75" w:rsidRDefault="00DD62A2" w:rsidP="00610164">
            <w:r>
              <w:t>College of Social Sciences</w:t>
            </w:r>
          </w:p>
        </w:tc>
        <w:tc>
          <w:tcPr>
            <w:tcW w:w="1455" w:type="dxa"/>
            <w:vAlign w:val="center"/>
          </w:tcPr>
          <w:p w:rsidR="00821B75" w:rsidRDefault="00610164" w:rsidP="00610164">
            <w:pPr>
              <w:jc w:val="center"/>
            </w:pPr>
            <w:r>
              <w:t>5</w:t>
            </w:r>
          </w:p>
        </w:tc>
        <w:tc>
          <w:tcPr>
            <w:tcW w:w="1350" w:type="dxa"/>
            <w:vAlign w:val="center"/>
          </w:tcPr>
          <w:p w:rsidR="00821B75" w:rsidRDefault="00821B75" w:rsidP="00610164">
            <w:pPr>
              <w:jc w:val="center"/>
            </w:pPr>
            <w:r>
              <w:t>7</w:t>
            </w:r>
          </w:p>
        </w:tc>
        <w:tc>
          <w:tcPr>
            <w:tcW w:w="1440" w:type="dxa"/>
            <w:vAlign w:val="center"/>
          </w:tcPr>
          <w:p w:rsidR="00821B75" w:rsidRDefault="00610164" w:rsidP="00610164">
            <w:pPr>
              <w:jc w:val="center"/>
            </w:pPr>
            <w:r>
              <w:t>157</w:t>
            </w:r>
          </w:p>
        </w:tc>
      </w:tr>
      <w:tr w:rsidR="00821B75" w:rsidTr="002A6290">
        <w:trPr>
          <w:jc w:val="center"/>
        </w:trPr>
        <w:tc>
          <w:tcPr>
            <w:tcW w:w="3865" w:type="dxa"/>
            <w:vAlign w:val="center"/>
          </w:tcPr>
          <w:p w:rsidR="00821B75" w:rsidRDefault="00DD62A2" w:rsidP="00610164">
            <w:r>
              <w:t>College of Arts and Humanities</w:t>
            </w:r>
          </w:p>
        </w:tc>
        <w:tc>
          <w:tcPr>
            <w:tcW w:w="1455" w:type="dxa"/>
            <w:vAlign w:val="center"/>
          </w:tcPr>
          <w:p w:rsidR="00821B75" w:rsidRDefault="00610164" w:rsidP="00610164">
            <w:pPr>
              <w:jc w:val="center"/>
            </w:pPr>
            <w:r>
              <w:t>6</w:t>
            </w:r>
          </w:p>
        </w:tc>
        <w:tc>
          <w:tcPr>
            <w:tcW w:w="1350" w:type="dxa"/>
            <w:vAlign w:val="center"/>
          </w:tcPr>
          <w:p w:rsidR="00821B75" w:rsidRDefault="00821B75" w:rsidP="00610164">
            <w:pPr>
              <w:jc w:val="center"/>
            </w:pPr>
            <w:r>
              <w:t>9</w:t>
            </w:r>
          </w:p>
        </w:tc>
        <w:tc>
          <w:tcPr>
            <w:tcW w:w="1440" w:type="dxa"/>
            <w:vAlign w:val="center"/>
          </w:tcPr>
          <w:p w:rsidR="00821B75" w:rsidRDefault="00610164" w:rsidP="00610164">
            <w:pPr>
              <w:jc w:val="center"/>
            </w:pPr>
            <w:r>
              <w:t>175</w:t>
            </w:r>
          </w:p>
        </w:tc>
      </w:tr>
      <w:tr w:rsidR="00821B75" w:rsidTr="002A6290">
        <w:trPr>
          <w:jc w:val="center"/>
        </w:trPr>
        <w:tc>
          <w:tcPr>
            <w:tcW w:w="3865" w:type="dxa"/>
            <w:vAlign w:val="center"/>
          </w:tcPr>
          <w:p w:rsidR="00821B75" w:rsidRDefault="00DD62A2" w:rsidP="00610164">
            <w:r>
              <w:t xml:space="preserve">College of Health and Human Services </w:t>
            </w:r>
          </w:p>
        </w:tc>
        <w:tc>
          <w:tcPr>
            <w:tcW w:w="1455" w:type="dxa"/>
            <w:vAlign w:val="center"/>
          </w:tcPr>
          <w:p w:rsidR="00610164" w:rsidRDefault="00610164" w:rsidP="00DD62A2">
            <w:pPr>
              <w:jc w:val="center"/>
            </w:pPr>
            <w:r>
              <w:t>6</w:t>
            </w:r>
          </w:p>
        </w:tc>
        <w:tc>
          <w:tcPr>
            <w:tcW w:w="1350" w:type="dxa"/>
            <w:vAlign w:val="center"/>
          </w:tcPr>
          <w:p w:rsidR="00821B75" w:rsidRDefault="00821B75" w:rsidP="00610164">
            <w:pPr>
              <w:jc w:val="center"/>
            </w:pPr>
            <w:r>
              <w:t>9</w:t>
            </w:r>
          </w:p>
        </w:tc>
        <w:tc>
          <w:tcPr>
            <w:tcW w:w="1440" w:type="dxa"/>
            <w:vAlign w:val="center"/>
          </w:tcPr>
          <w:p w:rsidR="00821B75" w:rsidRDefault="00610164" w:rsidP="00610164">
            <w:pPr>
              <w:jc w:val="center"/>
            </w:pPr>
            <w:r>
              <w:t>219</w:t>
            </w:r>
          </w:p>
        </w:tc>
      </w:tr>
      <w:tr w:rsidR="00821B75" w:rsidTr="002A6290">
        <w:trPr>
          <w:jc w:val="center"/>
        </w:trPr>
        <w:tc>
          <w:tcPr>
            <w:tcW w:w="3865" w:type="dxa"/>
            <w:vAlign w:val="center"/>
          </w:tcPr>
          <w:p w:rsidR="00821B75" w:rsidRDefault="00821B75" w:rsidP="00610164">
            <w:r>
              <w:t>Lyles</w:t>
            </w:r>
            <w:r w:rsidR="00610164">
              <w:t xml:space="preserve"> </w:t>
            </w:r>
            <w:r w:rsidR="00DD62A2">
              <w:t xml:space="preserve">College of Engineering </w:t>
            </w:r>
            <w:r w:rsidR="00610164">
              <w:t xml:space="preserve"> </w:t>
            </w:r>
          </w:p>
        </w:tc>
        <w:tc>
          <w:tcPr>
            <w:tcW w:w="1455" w:type="dxa"/>
            <w:vAlign w:val="center"/>
          </w:tcPr>
          <w:p w:rsidR="00821B75" w:rsidRDefault="00610164" w:rsidP="00610164">
            <w:pPr>
              <w:jc w:val="center"/>
            </w:pPr>
            <w:r>
              <w:t>5</w:t>
            </w:r>
          </w:p>
        </w:tc>
        <w:tc>
          <w:tcPr>
            <w:tcW w:w="1350" w:type="dxa"/>
            <w:vAlign w:val="center"/>
          </w:tcPr>
          <w:p w:rsidR="00821B75" w:rsidRDefault="00821B75" w:rsidP="00610164">
            <w:pPr>
              <w:jc w:val="center"/>
            </w:pPr>
            <w:r>
              <w:t>7</w:t>
            </w:r>
          </w:p>
        </w:tc>
        <w:tc>
          <w:tcPr>
            <w:tcW w:w="1440" w:type="dxa"/>
            <w:vAlign w:val="center"/>
          </w:tcPr>
          <w:p w:rsidR="00821B75" w:rsidRDefault="00610164" w:rsidP="00610164">
            <w:pPr>
              <w:jc w:val="center"/>
            </w:pPr>
            <w:r>
              <w:t>168</w:t>
            </w:r>
          </w:p>
        </w:tc>
      </w:tr>
      <w:tr w:rsidR="00821B75" w:rsidTr="002A6290">
        <w:trPr>
          <w:jc w:val="center"/>
        </w:trPr>
        <w:tc>
          <w:tcPr>
            <w:tcW w:w="3865" w:type="dxa"/>
            <w:vAlign w:val="center"/>
          </w:tcPr>
          <w:p w:rsidR="00821B75" w:rsidRDefault="00821B75" w:rsidP="00610164">
            <w:r>
              <w:t>Craig</w:t>
            </w:r>
            <w:r w:rsidR="00DD62A2">
              <w:t xml:space="preserve"> School of Business </w:t>
            </w:r>
          </w:p>
        </w:tc>
        <w:tc>
          <w:tcPr>
            <w:tcW w:w="1455" w:type="dxa"/>
            <w:vAlign w:val="center"/>
          </w:tcPr>
          <w:p w:rsidR="00821B75" w:rsidRDefault="00610164" w:rsidP="00610164">
            <w:pPr>
              <w:jc w:val="center"/>
            </w:pPr>
            <w:r>
              <w:t>5</w:t>
            </w:r>
          </w:p>
        </w:tc>
        <w:tc>
          <w:tcPr>
            <w:tcW w:w="1350" w:type="dxa"/>
            <w:vAlign w:val="center"/>
          </w:tcPr>
          <w:p w:rsidR="00821B75" w:rsidRDefault="00821B75" w:rsidP="00610164">
            <w:pPr>
              <w:jc w:val="center"/>
            </w:pPr>
            <w:r>
              <w:t>9</w:t>
            </w:r>
          </w:p>
        </w:tc>
        <w:tc>
          <w:tcPr>
            <w:tcW w:w="1440" w:type="dxa"/>
            <w:vAlign w:val="center"/>
          </w:tcPr>
          <w:p w:rsidR="00821B75" w:rsidRDefault="00610164" w:rsidP="00610164">
            <w:pPr>
              <w:jc w:val="center"/>
            </w:pPr>
            <w:r>
              <w:t>309</w:t>
            </w:r>
          </w:p>
        </w:tc>
      </w:tr>
      <w:tr w:rsidR="00821B75" w:rsidTr="002A6290">
        <w:trPr>
          <w:jc w:val="center"/>
        </w:trPr>
        <w:tc>
          <w:tcPr>
            <w:tcW w:w="3865" w:type="dxa"/>
            <w:vAlign w:val="center"/>
          </w:tcPr>
          <w:p w:rsidR="00821B75" w:rsidRDefault="00821B75" w:rsidP="00610164">
            <w:proofErr w:type="spellStart"/>
            <w:r>
              <w:t>Kremen</w:t>
            </w:r>
            <w:proofErr w:type="spellEnd"/>
            <w:r w:rsidR="00610164">
              <w:t xml:space="preserve"> </w:t>
            </w:r>
            <w:r w:rsidR="00DD62A2">
              <w:t>School of Education</w:t>
            </w:r>
          </w:p>
        </w:tc>
        <w:tc>
          <w:tcPr>
            <w:tcW w:w="1455" w:type="dxa"/>
            <w:vAlign w:val="center"/>
          </w:tcPr>
          <w:p w:rsidR="00821B75" w:rsidRDefault="00610164" w:rsidP="00610164">
            <w:pPr>
              <w:jc w:val="center"/>
            </w:pPr>
            <w:r>
              <w:t>5</w:t>
            </w:r>
          </w:p>
        </w:tc>
        <w:tc>
          <w:tcPr>
            <w:tcW w:w="1350" w:type="dxa"/>
            <w:vAlign w:val="center"/>
          </w:tcPr>
          <w:p w:rsidR="00821B75" w:rsidRDefault="00821B75" w:rsidP="00610164">
            <w:pPr>
              <w:jc w:val="center"/>
            </w:pPr>
            <w:r>
              <w:t>9</w:t>
            </w:r>
          </w:p>
        </w:tc>
        <w:tc>
          <w:tcPr>
            <w:tcW w:w="1440" w:type="dxa"/>
            <w:vAlign w:val="center"/>
          </w:tcPr>
          <w:p w:rsidR="00821B75" w:rsidRDefault="00DD62A2" w:rsidP="00610164">
            <w:pPr>
              <w:jc w:val="center"/>
            </w:pPr>
            <w:r>
              <w:t>183</w:t>
            </w:r>
          </w:p>
        </w:tc>
      </w:tr>
      <w:tr w:rsidR="00821B75" w:rsidTr="002A6290">
        <w:trPr>
          <w:jc w:val="center"/>
        </w:trPr>
        <w:tc>
          <w:tcPr>
            <w:tcW w:w="3865" w:type="dxa"/>
            <w:vAlign w:val="center"/>
          </w:tcPr>
          <w:p w:rsidR="00821B75" w:rsidRDefault="00DD62A2" w:rsidP="00610164">
            <w:r>
              <w:t>College of Science and Math</w:t>
            </w:r>
          </w:p>
        </w:tc>
        <w:tc>
          <w:tcPr>
            <w:tcW w:w="1455" w:type="dxa"/>
            <w:vAlign w:val="center"/>
          </w:tcPr>
          <w:p w:rsidR="00821B75" w:rsidRDefault="00610164" w:rsidP="00610164">
            <w:pPr>
              <w:jc w:val="center"/>
            </w:pPr>
            <w:r>
              <w:t>11</w:t>
            </w:r>
          </w:p>
        </w:tc>
        <w:tc>
          <w:tcPr>
            <w:tcW w:w="1350" w:type="dxa"/>
            <w:vAlign w:val="center"/>
          </w:tcPr>
          <w:p w:rsidR="00821B75" w:rsidRDefault="00821B75" w:rsidP="00610164">
            <w:pPr>
              <w:jc w:val="center"/>
            </w:pPr>
            <w:r>
              <w:t>16</w:t>
            </w:r>
          </w:p>
        </w:tc>
        <w:tc>
          <w:tcPr>
            <w:tcW w:w="1440" w:type="dxa"/>
            <w:vAlign w:val="center"/>
          </w:tcPr>
          <w:p w:rsidR="00821B75" w:rsidRDefault="00DD62A2" w:rsidP="00610164">
            <w:pPr>
              <w:jc w:val="center"/>
            </w:pPr>
            <w:r>
              <w:t>427</w:t>
            </w:r>
          </w:p>
        </w:tc>
      </w:tr>
      <w:tr w:rsidR="00821B75" w:rsidTr="002A6290">
        <w:trPr>
          <w:jc w:val="center"/>
        </w:trPr>
        <w:tc>
          <w:tcPr>
            <w:tcW w:w="3865" w:type="dxa"/>
            <w:shd w:val="clear" w:color="auto" w:fill="D9D9D9" w:themeFill="background1" w:themeFillShade="D9"/>
            <w:vAlign w:val="center"/>
          </w:tcPr>
          <w:p w:rsidR="00821B75" w:rsidRDefault="00821B75" w:rsidP="00610164">
            <w:r>
              <w:t xml:space="preserve">Total </w:t>
            </w:r>
          </w:p>
        </w:tc>
        <w:tc>
          <w:tcPr>
            <w:tcW w:w="1455" w:type="dxa"/>
            <w:shd w:val="clear" w:color="auto" w:fill="D9D9D9" w:themeFill="background1" w:themeFillShade="D9"/>
            <w:vAlign w:val="center"/>
          </w:tcPr>
          <w:p w:rsidR="00821B75" w:rsidRDefault="0037612C" w:rsidP="00610164">
            <w:pPr>
              <w:jc w:val="center"/>
            </w:pPr>
            <w:r>
              <w:t>53</w:t>
            </w:r>
          </w:p>
        </w:tc>
        <w:tc>
          <w:tcPr>
            <w:tcW w:w="1350" w:type="dxa"/>
            <w:shd w:val="clear" w:color="auto" w:fill="D9D9D9" w:themeFill="background1" w:themeFillShade="D9"/>
            <w:vAlign w:val="center"/>
          </w:tcPr>
          <w:p w:rsidR="00821B75" w:rsidRDefault="00821B75" w:rsidP="00610164">
            <w:pPr>
              <w:jc w:val="center"/>
            </w:pPr>
            <w:r>
              <w:t>81</w:t>
            </w:r>
          </w:p>
        </w:tc>
        <w:tc>
          <w:tcPr>
            <w:tcW w:w="1440" w:type="dxa"/>
            <w:shd w:val="clear" w:color="auto" w:fill="D9D9D9" w:themeFill="background1" w:themeFillShade="D9"/>
            <w:vAlign w:val="center"/>
          </w:tcPr>
          <w:p w:rsidR="00821B75" w:rsidRDefault="0037612C" w:rsidP="00610164">
            <w:pPr>
              <w:jc w:val="center"/>
            </w:pPr>
            <w:r>
              <w:t>2013</w:t>
            </w:r>
          </w:p>
        </w:tc>
      </w:tr>
    </w:tbl>
    <w:p w:rsidR="00821B75" w:rsidRDefault="00821B75"/>
    <w:p w:rsidR="00EE22C4" w:rsidRDefault="0037612C">
      <w:r>
        <w:t xml:space="preserve">The courses were also evaluated using the IDEA instrument, and instructors gave us permission to access their IDEA reports for these courses for the sake of comparison. </w:t>
      </w:r>
    </w:p>
    <w:p w:rsidR="00BD1F89" w:rsidRDefault="00BD1F89">
      <w:r>
        <w:t xml:space="preserve">Participating faculty members represented all ranks: 18 classes were taught by Professors, 10 by Associate Professors, 47 by Assistant Professors, 3 by full-time lecturers, and 3 by part-time lecturers. Of the 81 classes, 35 had a female instructor, and 46 had a male professor. Instructors self-identified their race/ethnicity: 51 identified as White, 4 as Black, 5 as Asian, 6 as Hispanic, </w:t>
      </w:r>
      <w:proofErr w:type="gramStart"/>
      <w:r>
        <w:t>2</w:t>
      </w:r>
      <w:proofErr w:type="gramEnd"/>
      <w:r>
        <w:t xml:space="preserve"> as Middle-Eastern, 3 as White and Middle Eastern</w:t>
      </w:r>
      <w:r w:rsidR="00966A56">
        <w:t>,</w:t>
      </w:r>
      <w:r>
        <w:t xml:space="preserve"> 8 as White and Hispanic</w:t>
      </w:r>
      <w:r w:rsidR="00966A56">
        <w:t>, and 2 as other</w:t>
      </w:r>
      <w:r>
        <w:t xml:space="preserve">.  </w:t>
      </w:r>
    </w:p>
    <w:p w:rsidR="00BD1F89" w:rsidRDefault="00BD1F89">
      <w:r>
        <w:t xml:space="preserve">Participating courses included lower division (n=16), upper-division (n=57), and credential or </w:t>
      </w:r>
      <w:proofErr w:type="gramStart"/>
      <w:r>
        <w:t>graduate(</w:t>
      </w:r>
      <w:proofErr w:type="gramEnd"/>
      <w:r>
        <w:t xml:space="preserve">n=8). </w:t>
      </w:r>
      <w:r w:rsidR="00966A56">
        <w:t xml:space="preserve">Most participating classes were taught face-to-face, but 6 were fully online. Participating classes </w:t>
      </w:r>
      <w:r w:rsidR="00651073">
        <w:t>varied in size: 30 were small (&lt; 26</w:t>
      </w:r>
      <w:r w:rsidR="00966A56">
        <w:t xml:space="preserve"> </w:t>
      </w:r>
      <w:r w:rsidR="00651073">
        <w:t>s</w:t>
      </w:r>
      <w:r w:rsidR="00966A56">
        <w:t>tudents), 44 were medium (</w:t>
      </w:r>
      <w:r w:rsidR="00651073">
        <w:t>26-50</w:t>
      </w:r>
      <w:r w:rsidR="00966A56">
        <w:t xml:space="preserve"> students) and 7 were large (&gt; </w:t>
      </w:r>
      <w:r w:rsidR="00651073">
        <w:t>51</w:t>
      </w:r>
      <w:r w:rsidR="00966A56">
        <w:t xml:space="preserve"> students).</w:t>
      </w:r>
      <w:r>
        <w:t xml:space="preserve"> Some </w:t>
      </w:r>
      <w:r w:rsidR="00966A56">
        <w:t xml:space="preserve">(n=8) </w:t>
      </w:r>
      <w:r>
        <w:t xml:space="preserve">included labs, and some </w:t>
      </w:r>
      <w:r w:rsidR="00966A56">
        <w:t xml:space="preserve">(n=5) </w:t>
      </w:r>
      <w:r>
        <w:t xml:space="preserve">included a site placement (e.g., internship, practicum, or service-learning). </w:t>
      </w:r>
    </w:p>
    <w:p w:rsidR="0083269D" w:rsidRDefault="0083269D">
      <w:r>
        <w:t xml:space="preserve">Results of the analysis of these pilot data are reported below, with statistically significant results highlighted in yellow. </w:t>
      </w:r>
    </w:p>
    <w:p w:rsidR="00EE22C4" w:rsidRPr="00EE22C4" w:rsidRDefault="00EE22C4">
      <w:pPr>
        <w:rPr>
          <w:b/>
        </w:rPr>
      </w:pPr>
      <w:r w:rsidRPr="00EE22C4">
        <w:rPr>
          <w:b/>
          <w:sz w:val="36"/>
        </w:rPr>
        <w:t xml:space="preserve">Results – </w:t>
      </w:r>
      <w:r w:rsidR="00C626CF">
        <w:rPr>
          <w:b/>
          <w:sz w:val="36"/>
        </w:rPr>
        <w:t xml:space="preserve">Internal </w:t>
      </w:r>
      <w:r>
        <w:rPr>
          <w:b/>
          <w:sz w:val="36"/>
        </w:rPr>
        <w:t>Reliability</w:t>
      </w:r>
      <w:r w:rsidRPr="00EE22C4">
        <w:rPr>
          <w:b/>
        </w:rPr>
        <w:t xml:space="preserve"> </w:t>
      </w:r>
    </w:p>
    <w:p w:rsidR="00EE22C4" w:rsidRDefault="00EE22C4">
      <w:r>
        <w:t>Internal reliability is the degree to which items on the scale measure aspects of the same underlying co</w:t>
      </w:r>
      <w:r w:rsidR="006E75BC">
        <w:t xml:space="preserve">nstruct. It is assessed </w:t>
      </w:r>
      <w:r w:rsidR="00C626CF">
        <w:t xml:space="preserve">statistically </w:t>
      </w:r>
      <w:r w:rsidR="006E75BC">
        <w:t xml:space="preserve">using </w:t>
      </w:r>
      <w:r>
        <w:t>Cronbach’s alpha</w:t>
      </w:r>
      <w:r w:rsidR="00C626CF">
        <w:t xml:space="preserve"> by standards that are widely agreed upon</w:t>
      </w:r>
      <w:r>
        <w:t xml:space="preserve">. </w:t>
      </w:r>
      <w:r w:rsidR="00943240">
        <w:t>An alpha of .7</w:t>
      </w:r>
      <w:r>
        <w:t>0 is considered adequate</w:t>
      </w:r>
      <w:r w:rsidR="006E75BC">
        <w:t>,</w:t>
      </w:r>
      <w:r w:rsidR="00943240">
        <w:t xml:space="preserve"> .80 is good, and .90 is excellent</w:t>
      </w:r>
      <w:r w:rsidR="00C51D4A">
        <w:t xml:space="preserve"> (Cortina, 1993)</w:t>
      </w:r>
      <w:r w:rsidR="00943240">
        <w:t xml:space="preserve">. </w:t>
      </w:r>
    </w:p>
    <w:p w:rsidR="00C626CF" w:rsidRDefault="00C626CF" w:rsidP="00C626CF">
      <w:r>
        <w:t xml:space="preserve">The four default items on the </w:t>
      </w:r>
      <w:r w:rsidR="006E75BC">
        <w:t>Instructional Design</w:t>
      </w:r>
      <w:r>
        <w:t xml:space="preserve"> subscale have an alpha of </w:t>
      </w:r>
      <w:r w:rsidR="006E75BC">
        <w:t>= .82</w:t>
      </w:r>
      <w:r>
        <w:t>. The four default items on the instructional delivery subscale have an alpha of .8</w:t>
      </w:r>
      <w:r w:rsidR="0012133E">
        <w:t>3</w:t>
      </w:r>
      <w:r>
        <w:t>. The four default i</w:t>
      </w:r>
      <w:r w:rsidR="00860828">
        <w:t>t</w:t>
      </w:r>
      <w:r>
        <w:t>ems on the assessme</w:t>
      </w:r>
      <w:r w:rsidR="0012133E">
        <w:t>nt subscale have an alpha of .76</w:t>
      </w:r>
      <w:r>
        <w:t xml:space="preserve">. </w:t>
      </w:r>
      <w:r w:rsidRPr="00334371">
        <w:rPr>
          <w:highlight w:val="yellow"/>
        </w:rPr>
        <w:t>The 12 default items altogether have a</w:t>
      </w:r>
      <w:r w:rsidR="001866A3" w:rsidRPr="00334371">
        <w:rPr>
          <w:highlight w:val="yellow"/>
        </w:rPr>
        <w:t xml:space="preserve">n </w:t>
      </w:r>
      <w:r w:rsidRPr="00334371">
        <w:rPr>
          <w:highlight w:val="yellow"/>
        </w:rPr>
        <w:t>alpha of .91.</w:t>
      </w:r>
      <w:r>
        <w:t xml:space="preserve"> Therefore, we feel very confident that these items </w:t>
      </w:r>
      <w:r w:rsidR="00860828">
        <w:t>are internally reliable, that they have consistency and measure the same underlying construct, which we believe to be teaching quality</w:t>
      </w:r>
      <w:r>
        <w:t xml:space="preserve">. </w:t>
      </w:r>
    </w:p>
    <w:p w:rsidR="00C626CF" w:rsidRDefault="001866A3" w:rsidP="00C626CF">
      <w:r>
        <w:t xml:space="preserve">Next, we explored the reliability of the optional items to determine if they can be used interchangeably with the default items. </w:t>
      </w:r>
    </w:p>
    <w:p w:rsidR="00EE22C4" w:rsidRDefault="00C626CF">
      <w:r>
        <w:t xml:space="preserve">The 12 lab items have a Cronbach’s alpha of .94. </w:t>
      </w:r>
      <w:r w:rsidR="001866A3">
        <w:t xml:space="preserve">Together with the 12 default items, the alpha is .93. </w:t>
      </w:r>
      <w:r>
        <w:t xml:space="preserve">The 10 site placement items have a Cronbach’s alpha of .94. </w:t>
      </w:r>
      <w:r w:rsidR="001866A3">
        <w:t xml:space="preserve">Together with the 12 default items, the alpha remains .94. The default items combined with the first 12 optional items (Form A) has an alpha of .96. The default items combined 12 </w:t>
      </w:r>
      <w:r w:rsidR="00860828">
        <w:t xml:space="preserve">other </w:t>
      </w:r>
      <w:r w:rsidR="001866A3">
        <w:t xml:space="preserve">optional items (Form B) has an alpha of </w:t>
      </w:r>
      <w:r w:rsidR="005508A4">
        <w:t xml:space="preserve">.97. The default items combined with the final 12 </w:t>
      </w:r>
      <w:r w:rsidR="00860828">
        <w:t>optional items</w:t>
      </w:r>
      <w:r w:rsidR="005508A4">
        <w:t xml:space="preserve"> (Form C) has an alpha of .96. It is clear that the optional items are reliably interchangeable with the </w:t>
      </w:r>
      <w:r w:rsidR="00860828">
        <w:t>default items</w:t>
      </w:r>
      <w:r w:rsidR="005508A4">
        <w:t xml:space="preserve">. </w:t>
      </w:r>
    </w:p>
    <w:p w:rsidR="00C51D4A" w:rsidRDefault="00C51D4A">
      <w:r>
        <w:t xml:space="preserve">Our conclusion is that the default instrument has excellent internal reliability, and </w:t>
      </w:r>
      <w:r w:rsidR="00334371">
        <w:t xml:space="preserve">all of the optional items work equally reliably. Therefore, exchanging one item for another does not detract from the internal reliability of the instrument. </w:t>
      </w:r>
    </w:p>
    <w:p w:rsidR="003D411E" w:rsidRDefault="003D411E">
      <w:pPr>
        <w:rPr>
          <w:b/>
          <w:sz w:val="36"/>
        </w:rPr>
      </w:pPr>
    </w:p>
    <w:p w:rsidR="005508A4" w:rsidRDefault="005508A4">
      <w:pPr>
        <w:rPr>
          <w:b/>
          <w:sz w:val="36"/>
        </w:rPr>
      </w:pPr>
      <w:r>
        <w:rPr>
          <w:b/>
          <w:sz w:val="36"/>
        </w:rPr>
        <w:t>Face Validity</w:t>
      </w:r>
    </w:p>
    <w:p w:rsidR="005508A4" w:rsidRDefault="005508A4">
      <w:pPr>
        <w:rPr>
          <w:sz w:val="24"/>
          <w:szCs w:val="24"/>
        </w:rPr>
      </w:pPr>
      <w:r>
        <w:rPr>
          <w:sz w:val="24"/>
          <w:szCs w:val="24"/>
        </w:rPr>
        <w:t xml:space="preserve">We established face validity, a subjective assessment that the items appear to be appropriate, during the process of scale construction. </w:t>
      </w:r>
      <w:r w:rsidR="00860828">
        <w:rPr>
          <w:sz w:val="24"/>
          <w:szCs w:val="24"/>
        </w:rPr>
        <w:t xml:space="preserve">Task force members </w:t>
      </w:r>
      <w:r w:rsidR="00120545">
        <w:rPr>
          <w:sz w:val="24"/>
          <w:szCs w:val="24"/>
        </w:rPr>
        <w:t>reviewed</w:t>
      </w:r>
      <w:r>
        <w:rPr>
          <w:sz w:val="24"/>
          <w:szCs w:val="24"/>
        </w:rPr>
        <w:t xml:space="preserve"> and discussed</w:t>
      </w:r>
      <w:r w:rsidR="00860828">
        <w:rPr>
          <w:sz w:val="24"/>
          <w:szCs w:val="24"/>
        </w:rPr>
        <w:t xml:space="preserve"> all items </w:t>
      </w:r>
      <w:r w:rsidR="00120545">
        <w:rPr>
          <w:sz w:val="24"/>
          <w:szCs w:val="24"/>
        </w:rPr>
        <w:t>individually</w:t>
      </w:r>
      <w:r>
        <w:rPr>
          <w:sz w:val="24"/>
          <w:szCs w:val="24"/>
        </w:rPr>
        <w:t xml:space="preserve">, each </w:t>
      </w:r>
      <w:r w:rsidR="00860828">
        <w:rPr>
          <w:sz w:val="24"/>
          <w:szCs w:val="24"/>
        </w:rPr>
        <w:t xml:space="preserve">task force member </w:t>
      </w:r>
      <w:r>
        <w:rPr>
          <w:sz w:val="24"/>
          <w:szCs w:val="24"/>
        </w:rPr>
        <w:t>representing the interests of those in their own colleges. We also presented the items to the Academic Senate, and made slight revisions based on feedback</w:t>
      </w:r>
      <w:r w:rsidR="00860828">
        <w:rPr>
          <w:sz w:val="24"/>
          <w:szCs w:val="24"/>
        </w:rPr>
        <w:t xml:space="preserve"> received by that faculty body</w:t>
      </w:r>
      <w:r>
        <w:rPr>
          <w:sz w:val="24"/>
          <w:szCs w:val="24"/>
        </w:rPr>
        <w:t xml:space="preserve">. </w:t>
      </w:r>
    </w:p>
    <w:p w:rsidR="005508A4" w:rsidRPr="005508A4" w:rsidRDefault="005508A4">
      <w:pPr>
        <w:rPr>
          <w:b/>
          <w:sz w:val="36"/>
          <w:szCs w:val="24"/>
        </w:rPr>
      </w:pPr>
      <w:r w:rsidRPr="005508A4">
        <w:rPr>
          <w:b/>
          <w:sz w:val="36"/>
          <w:szCs w:val="24"/>
        </w:rPr>
        <w:t xml:space="preserve">Construct Validity </w:t>
      </w:r>
    </w:p>
    <w:p w:rsidR="005508A4" w:rsidRDefault="00120545">
      <w:pPr>
        <w:rPr>
          <w:sz w:val="24"/>
          <w:szCs w:val="24"/>
        </w:rPr>
      </w:pPr>
      <w:r>
        <w:rPr>
          <w:sz w:val="24"/>
          <w:szCs w:val="24"/>
        </w:rPr>
        <w:t xml:space="preserve">Construct validity is the extent to which the instrument matches the theoretical construct under investigation. In this case, the theoretical construct is our institution’s definition of the dimensions of teaching that are outlined in APM 322. </w:t>
      </w:r>
      <w:r w:rsidR="005508A4">
        <w:rPr>
          <w:sz w:val="24"/>
          <w:szCs w:val="24"/>
        </w:rPr>
        <w:t xml:space="preserve">The process described above </w:t>
      </w:r>
      <w:r>
        <w:rPr>
          <w:sz w:val="24"/>
          <w:szCs w:val="24"/>
        </w:rPr>
        <w:t xml:space="preserve">(under “Scale Construction”) makes clear that </w:t>
      </w:r>
      <w:r w:rsidR="00651073">
        <w:rPr>
          <w:sz w:val="24"/>
          <w:szCs w:val="24"/>
        </w:rPr>
        <w:t xml:space="preserve">the FSSRI </w:t>
      </w:r>
      <w:r>
        <w:rPr>
          <w:sz w:val="24"/>
          <w:szCs w:val="24"/>
        </w:rPr>
        <w:t xml:space="preserve">is explicitly very closely tied to </w:t>
      </w:r>
      <w:r w:rsidR="00860828">
        <w:rPr>
          <w:sz w:val="24"/>
          <w:szCs w:val="24"/>
        </w:rPr>
        <w:t xml:space="preserve">the construct of teaching quality, as defined in the APM. </w:t>
      </w:r>
    </w:p>
    <w:p w:rsidR="00966A56" w:rsidRDefault="00966A56">
      <w:pPr>
        <w:rPr>
          <w:sz w:val="24"/>
          <w:szCs w:val="24"/>
        </w:rPr>
      </w:pPr>
      <w:r>
        <w:rPr>
          <w:sz w:val="24"/>
          <w:szCs w:val="24"/>
        </w:rPr>
        <w:t>We note here that, although APM 322 describes three dimensions to be included in the student ratings, these data suggest that those dimensions are not meaningfully distinguishable from one another. An exploratory factor analysis of the default items indicated that there is real</w:t>
      </w:r>
      <w:r w:rsidR="00651073">
        <w:rPr>
          <w:sz w:val="24"/>
          <w:szCs w:val="24"/>
        </w:rPr>
        <w:t>ly only one factor to the FSSRI</w:t>
      </w:r>
      <w:r>
        <w:rPr>
          <w:sz w:val="24"/>
          <w:szCs w:val="24"/>
        </w:rPr>
        <w:t xml:space="preserve">. </w:t>
      </w:r>
    </w:p>
    <w:p w:rsidR="00334371" w:rsidRPr="005508A4" w:rsidRDefault="00334371">
      <w:pPr>
        <w:rPr>
          <w:sz w:val="24"/>
          <w:szCs w:val="24"/>
        </w:rPr>
      </w:pPr>
      <w:r>
        <w:rPr>
          <w:sz w:val="24"/>
          <w:szCs w:val="24"/>
        </w:rPr>
        <w:t xml:space="preserve">Therefore, the subscores should not be used in consideration of personnel decisions because they do not have adequate scientific foundation. Only the </w:t>
      </w:r>
      <w:r w:rsidR="0083269D">
        <w:rPr>
          <w:sz w:val="24"/>
          <w:szCs w:val="24"/>
        </w:rPr>
        <w:t xml:space="preserve">total </w:t>
      </w:r>
      <w:r>
        <w:rPr>
          <w:sz w:val="24"/>
          <w:szCs w:val="24"/>
        </w:rPr>
        <w:t>score should be used</w:t>
      </w:r>
      <w:r w:rsidR="0083269D">
        <w:rPr>
          <w:sz w:val="24"/>
          <w:szCs w:val="24"/>
        </w:rPr>
        <w:t xml:space="preserve"> for any purpose other than providing the instructor with insights about how students perceive the class</w:t>
      </w:r>
      <w:r>
        <w:rPr>
          <w:sz w:val="24"/>
          <w:szCs w:val="24"/>
        </w:rPr>
        <w:t xml:space="preserve">. </w:t>
      </w:r>
    </w:p>
    <w:p w:rsidR="00EE22C4" w:rsidRDefault="00EE22C4">
      <w:pPr>
        <w:rPr>
          <w:sz w:val="36"/>
        </w:rPr>
      </w:pPr>
      <w:r>
        <w:rPr>
          <w:b/>
          <w:sz w:val="36"/>
        </w:rPr>
        <w:t xml:space="preserve">Results – </w:t>
      </w:r>
      <w:r w:rsidR="00120545">
        <w:rPr>
          <w:b/>
          <w:sz w:val="36"/>
        </w:rPr>
        <w:t xml:space="preserve">Convergent </w:t>
      </w:r>
      <w:r>
        <w:rPr>
          <w:b/>
          <w:sz w:val="36"/>
        </w:rPr>
        <w:t xml:space="preserve">Validity </w:t>
      </w:r>
    </w:p>
    <w:p w:rsidR="00120545" w:rsidRDefault="0082602C">
      <w:pPr>
        <w:rPr>
          <w:sz w:val="24"/>
        </w:rPr>
      </w:pPr>
      <w:r>
        <w:rPr>
          <w:sz w:val="24"/>
        </w:rPr>
        <w:t xml:space="preserve">We </w:t>
      </w:r>
      <w:r w:rsidR="00120545">
        <w:rPr>
          <w:sz w:val="24"/>
        </w:rPr>
        <w:t>investigated whether the scores on th</w:t>
      </w:r>
      <w:r w:rsidR="00651073">
        <w:rPr>
          <w:sz w:val="24"/>
        </w:rPr>
        <w:t xml:space="preserve">e FSSRI </w:t>
      </w:r>
      <w:r w:rsidR="00120545">
        <w:rPr>
          <w:sz w:val="24"/>
        </w:rPr>
        <w:t xml:space="preserve">converges in expected ways with three other instruments. </w:t>
      </w:r>
      <w:r w:rsidR="00527A27">
        <w:rPr>
          <w:sz w:val="24"/>
        </w:rPr>
        <w:t xml:space="preserve">We also looked for potential consistency between scores on </w:t>
      </w:r>
      <w:r w:rsidR="00651073">
        <w:rPr>
          <w:sz w:val="24"/>
        </w:rPr>
        <w:t>the FSSRI</w:t>
      </w:r>
      <w:r w:rsidR="00527A27">
        <w:rPr>
          <w:sz w:val="24"/>
        </w:rPr>
        <w:t xml:space="preserve"> and student subjective ratings of other aspects of the course.  </w:t>
      </w:r>
    </w:p>
    <w:p w:rsidR="00120545" w:rsidRPr="00120545" w:rsidRDefault="00120545">
      <w:pPr>
        <w:rPr>
          <w:sz w:val="24"/>
          <w:u w:val="single"/>
        </w:rPr>
      </w:pPr>
      <w:r w:rsidRPr="00120545">
        <w:rPr>
          <w:sz w:val="24"/>
          <w:u w:val="single"/>
        </w:rPr>
        <w:t xml:space="preserve">Post-Secondary Instructional Practices Survey (PIPS) </w:t>
      </w:r>
    </w:p>
    <w:p w:rsidR="00334371" w:rsidRDefault="00334371">
      <w:pPr>
        <w:rPr>
          <w:sz w:val="24"/>
        </w:rPr>
      </w:pPr>
      <w:r>
        <w:rPr>
          <w:sz w:val="24"/>
        </w:rPr>
        <w:t xml:space="preserve">The Post-Secondary Instructional Practices Survey (PIPS) is a previously validated instrument that characterizes strategies used in college classrooms </w:t>
      </w:r>
      <w:r w:rsidRPr="00334371">
        <w:rPr>
          <w:sz w:val="24"/>
        </w:rPr>
        <w:t>(Walter, Henderson, Beach, &amp; Williams, 2016)</w:t>
      </w:r>
      <w:r>
        <w:rPr>
          <w:sz w:val="24"/>
        </w:rPr>
        <w:t xml:space="preserve">. It can be used to differentiate student-centered practices, which are associate with effective learning, from instructor-centered practices, which are not. </w:t>
      </w:r>
    </w:p>
    <w:p w:rsidR="008A3ACB" w:rsidRDefault="00120545" w:rsidP="008A3ACB">
      <w:pPr>
        <w:rPr>
          <w:sz w:val="24"/>
        </w:rPr>
      </w:pPr>
      <w:r>
        <w:rPr>
          <w:sz w:val="24"/>
        </w:rPr>
        <w:t xml:space="preserve">We predicted that scores on the </w:t>
      </w:r>
      <w:r w:rsidR="00651073">
        <w:rPr>
          <w:sz w:val="24"/>
        </w:rPr>
        <w:t xml:space="preserve">FSSRI </w:t>
      </w:r>
      <w:r>
        <w:rPr>
          <w:sz w:val="24"/>
        </w:rPr>
        <w:t>would correlate positively with student-centered practices, and correlate negatively with instructor-centered practices, as measu</w:t>
      </w:r>
      <w:r w:rsidR="00334371">
        <w:rPr>
          <w:sz w:val="24"/>
        </w:rPr>
        <w:t xml:space="preserve">red by the </w:t>
      </w:r>
      <w:r>
        <w:rPr>
          <w:sz w:val="24"/>
        </w:rPr>
        <w:t xml:space="preserve">PIPS instrument. </w:t>
      </w:r>
      <w:r w:rsidR="008A3ACB">
        <w:rPr>
          <w:sz w:val="24"/>
        </w:rPr>
        <w:t>In fact, this is very close to</w:t>
      </w:r>
      <w:r w:rsidR="0017632F">
        <w:rPr>
          <w:sz w:val="24"/>
        </w:rPr>
        <w:t xml:space="preserve"> what we found</w:t>
      </w:r>
      <w:r w:rsidR="00485F6A">
        <w:rPr>
          <w:sz w:val="24"/>
        </w:rPr>
        <w:t>.</w:t>
      </w:r>
      <w:r w:rsidR="00612C46">
        <w:rPr>
          <w:sz w:val="24"/>
        </w:rPr>
        <w:t xml:space="preserve"> </w:t>
      </w:r>
      <w:r w:rsidR="00485F6A">
        <w:rPr>
          <w:sz w:val="24"/>
        </w:rPr>
        <w:t>T</w:t>
      </w:r>
      <w:r w:rsidR="00612C46">
        <w:rPr>
          <w:sz w:val="24"/>
        </w:rPr>
        <w:t xml:space="preserve">he </w:t>
      </w:r>
      <w:r w:rsidR="00485F6A" w:rsidRPr="00334371">
        <w:rPr>
          <w:sz w:val="24"/>
          <w:highlight w:val="yellow"/>
        </w:rPr>
        <w:t xml:space="preserve">total </w:t>
      </w:r>
      <w:r w:rsidR="00612C46" w:rsidRPr="00334371">
        <w:rPr>
          <w:sz w:val="24"/>
          <w:highlight w:val="yellow"/>
        </w:rPr>
        <w:t>score is positively correlated with student-centered practices</w:t>
      </w:r>
      <w:r w:rsidR="00485F6A" w:rsidRPr="00334371">
        <w:rPr>
          <w:sz w:val="24"/>
          <w:highlight w:val="yellow"/>
        </w:rPr>
        <w:t xml:space="preserve"> on the PIPS (r=.25, p=.03)</w:t>
      </w:r>
      <w:r w:rsidR="00612C46">
        <w:rPr>
          <w:sz w:val="24"/>
        </w:rPr>
        <w:t xml:space="preserve"> and </w:t>
      </w:r>
      <w:r w:rsidR="00485F6A">
        <w:rPr>
          <w:sz w:val="24"/>
        </w:rPr>
        <w:t xml:space="preserve">not significantly </w:t>
      </w:r>
      <w:r w:rsidR="00612C46">
        <w:rPr>
          <w:sz w:val="24"/>
        </w:rPr>
        <w:t>correlated with instructor-centered practices</w:t>
      </w:r>
      <w:r w:rsidR="00485F6A">
        <w:rPr>
          <w:sz w:val="24"/>
        </w:rPr>
        <w:t xml:space="preserve"> (r=-0.19, p=.09)</w:t>
      </w:r>
      <w:r w:rsidR="004A5142">
        <w:rPr>
          <w:sz w:val="24"/>
        </w:rPr>
        <w:t>, although it trends in the negative direction</w:t>
      </w:r>
      <w:r w:rsidR="00612C46">
        <w:rPr>
          <w:sz w:val="24"/>
        </w:rPr>
        <w:t xml:space="preserve">. </w:t>
      </w:r>
    </w:p>
    <w:p w:rsidR="00695A39" w:rsidRDefault="00597F3B">
      <w:pPr>
        <w:rPr>
          <w:sz w:val="24"/>
        </w:rPr>
      </w:pPr>
      <w:r>
        <w:rPr>
          <w:sz w:val="24"/>
        </w:rPr>
        <w:t>This is very strong evidence of convergent validity of our new instrument.</w:t>
      </w:r>
    </w:p>
    <w:p w:rsidR="00860828" w:rsidRDefault="00695A39">
      <w:pPr>
        <w:rPr>
          <w:sz w:val="24"/>
        </w:rPr>
      </w:pPr>
      <w:r>
        <w:rPr>
          <w:sz w:val="24"/>
        </w:rPr>
        <w:t>Furthermore, we note that the student-centered practice subscore the PIPS is NOT significantly correlated with the IDEA summary score (r=.22, p=.09)</w:t>
      </w:r>
      <w:r w:rsidR="00334371">
        <w:rPr>
          <w:sz w:val="24"/>
        </w:rPr>
        <w:t xml:space="preserve">, suggesting that our new instrument is </w:t>
      </w:r>
      <w:r w:rsidR="00334371" w:rsidRPr="00334371">
        <w:rPr>
          <w:i/>
          <w:sz w:val="24"/>
        </w:rPr>
        <w:t>more</w:t>
      </w:r>
      <w:r w:rsidR="00334371">
        <w:rPr>
          <w:sz w:val="24"/>
        </w:rPr>
        <w:t xml:space="preserve"> valid than the one we are replacing</w:t>
      </w:r>
      <w:r>
        <w:rPr>
          <w:sz w:val="24"/>
        </w:rPr>
        <w:t xml:space="preserve">. </w:t>
      </w:r>
      <w:r w:rsidR="00966A56">
        <w:rPr>
          <w:sz w:val="24"/>
        </w:rPr>
        <w:t xml:space="preserve"> </w:t>
      </w:r>
    </w:p>
    <w:p w:rsidR="008A3ACB" w:rsidRPr="00612C46" w:rsidRDefault="00612C46">
      <w:pPr>
        <w:rPr>
          <w:sz w:val="24"/>
          <w:u w:val="single"/>
        </w:rPr>
      </w:pPr>
      <w:r>
        <w:rPr>
          <w:sz w:val="24"/>
          <w:u w:val="single"/>
        </w:rPr>
        <w:t xml:space="preserve">Instructor-Report of Items </w:t>
      </w:r>
    </w:p>
    <w:p w:rsidR="00612C46" w:rsidRDefault="00612C46">
      <w:pPr>
        <w:rPr>
          <w:sz w:val="24"/>
        </w:rPr>
      </w:pPr>
      <w:r>
        <w:rPr>
          <w:sz w:val="24"/>
        </w:rPr>
        <w:t xml:space="preserve">We asked the instructor to self-asses </w:t>
      </w:r>
      <w:r w:rsidR="00CA18F6">
        <w:rPr>
          <w:sz w:val="24"/>
        </w:rPr>
        <w:t>their own teaching strategies in the</w:t>
      </w:r>
      <w:r>
        <w:rPr>
          <w:sz w:val="24"/>
        </w:rPr>
        <w:t xml:space="preserve"> class using the 12 defau</w:t>
      </w:r>
      <w:r w:rsidR="00651073">
        <w:rPr>
          <w:sz w:val="24"/>
        </w:rPr>
        <w:t>lt items from the FSSRI</w:t>
      </w:r>
      <w:r>
        <w:rPr>
          <w:sz w:val="24"/>
        </w:rPr>
        <w:t xml:space="preserve"> to see if student-report would converge with instructor-report. </w:t>
      </w:r>
    </w:p>
    <w:p w:rsidR="0082602C" w:rsidRDefault="0082602C" w:rsidP="00485F6A">
      <w:pPr>
        <w:rPr>
          <w:sz w:val="24"/>
        </w:rPr>
      </w:pPr>
      <w:r>
        <w:rPr>
          <w:sz w:val="24"/>
        </w:rPr>
        <w:t>Overall, there is a statistically significant</w:t>
      </w:r>
      <w:r w:rsidR="00485F6A">
        <w:rPr>
          <w:sz w:val="24"/>
        </w:rPr>
        <w:t xml:space="preserve"> correlation between the total</w:t>
      </w:r>
      <w:r>
        <w:rPr>
          <w:sz w:val="24"/>
        </w:rPr>
        <w:t xml:space="preserve"> score provided by the instructor and that computed from student surveys</w:t>
      </w:r>
      <w:r w:rsidR="00485F6A">
        <w:rPr>
          <w:sz w:val="24"/>
        </w:rPr>
        <w:t xml:space="preserve"> (r=0.29, p=.01)</w:t>
      </w:r>
      <w:r w:rsidR="00E96389">
        <w:rPr>
          <w:sz w:val="24"/>
        </w:rPr>
        <w:t xml:space="preserve">. </w:t>
      </w:r>
      <w:r w:rsidR="00334371">
        <w:rPr>
          <w:sz w:val="24"/>
        </w:rPr>
        <w:t xml:space="preserve">This is additional evidence of the validity of the FSSRI instrument. </w:t>
      </w:r>
    </w:p>
    <w:p w:rsidR="00612C46" w:rsidRPr="00612C46" w:rsidRDefault="00612C46">
      <w:pPr>
        <w:rPr>
          <w:sz w:val="24"/>
          <w:u w:val="single"/>
        </w:rPr>
      </w:pPr>
      <w:r w:rsidRPr="00612C46">
        <w:rPr>
          <w:sz w:val="24"/>
          <w:u w:val="single"/>
        </w:rPr>
        <w:t xml:space="preserve">IDEA Ratings </w:t>
      </w:r>
    </w:p>
    <w:p w:rsidR="00CA18F6" w:rsidRDefault="00612C46">
      <w:pPr>
        <w:rPr>
          <w:sz w:val="24"/>
        </w:rPr>
      </w:pPr>
      <w:r>
        <w:rPr>
          <w:sz w:val="24"/>
        </w:rPr>
        <w:t>Since the IDEA student rating instrument is based on a fundamentally different principle, we were unsure whether to expect a strong correlation between the</w:t>
      </w:r>
      <w:r w:rsidR="00651073">
        <w:rPr>
          <w:sz w:val="24"/>
        </w:rPr>
        <w:t xml:space="preserve"> new FSSRI</w:t>
      </w:r>
      <w:r>
        <w:rPr>
          <w:sz w:val="24"/>
        </w:rPr>
        <w:t xml:space="preserve"> scores and the IDEA ratings. </w:t>
      </w:r>
      <w:r w:rsidR="00FB1A35">
        <w:rPr>
          <w:sz w:val="24"/>
        </w:rPr>
        <w:t xml:space="preserve">However, </w:t>
      </w:r>
      <w:r w:rsidR="00375620">
        <w:rPr>
          <w:sz w:val="24"/>
        </w:rPr>
        <w:t xml:space="preserve">in the 67 classes for which both scores were available, </w:t>
      </w:r>
      <w:r w:rsidR="00FB1A35">
        <w:rPr>
          <w:sz w:val="24"/>
        </w:rPr>
        <w:t xml:space="preserve">we found a </w:t>
      </w:r>
      <w:r w:rsidR="00FB1A35" w:rsidRPr="00334371">
        <w:rPr>
          <w:sz w:val="24"/>
          <w:highlight w:val="yellow"/>
        </w:rPr>
        <w:t xml:space="preserve">very strong correlation between to the two instruments: </w:t>
      </w:r>
      <w:r w:rsidR="00CA18F6" w:rsidRPr="00334371">
        <w:rPr>
          <w:sz w:val="24"/>
          <w:highlight w:val="yellow"/>
        </w:rPr>
        <w:t>r=</w:t>
      </w:r>
      <w:r w:rsidR="00FB1A35" w:rsidRPr="00334371">
        <w:rPr>
          <w:sz w:val="24"/>
          <w:highlight w:val="yellow"/>
        </w:rPr>
        <w:t xml:space="preserve"> .80, p&lt;.0001.</w:t>
      </w:r>
    </w:p>
    <w:p w:rsidR="00612C46" w:rsidRDefault="00CA18F6">
      <w:pPr>
        <w:rPr>
          <w:sz w:val="24"/>
        </w:rPr>
      </w:pPr>
      <w:r>
        <w:rPr>
          <w:sz w:val="24"/>
        </w:rPr>
        <w:t xml:space="preserve">As the following scatterplot demonstrates, </w:t>
      </w:r>
      <w:r w:rsidR="00334371">
        <w:rPr>
          <w:sz w:val="24"/>
        </w:rPr>
        <w:t xml:space="preserve">both </w:t>
      </w:r>
      <w:r>
        <w:rPr>
          <w:sz w:val="24"/>
        </w:rPr>
        <w:t xml:space="preserve">IDEA </w:t>
      </w:r>
      <w:r w:rsidR="00334371">
        <w:rPr>
          <w:sz w:val="24"/>
        </w:rPr>
        <w:t xml:space="preserve">and FSSRI </w:t>
      </w:r>
      <w:r>
        <w:rPr>
          <w:sz w:val="24"/>
        </w:rPr>
        <w:t xml:space="preserve">ratings are clustered heavily at the far upper end of the scale (most scores are higher than 4.0 on a 5-point scale), and FSSRI scores can be predicted reliably by the significant regression line. All of the cases cluster quite close to the regression line. </w:t>
      </w:r>
    </w:p>
    <w:p w:rsidR="00CA18F6" w:rsidRDefault="00CA18F6">
      <w:pPr>
        <w:rPr>
          <w:sz w:val="24"/>
        </w:rPr>
      </w:pPr>
      <w:r>
        <w:rPr>
          <w:noProof/>
          <w:sz w:val="24"/>
        </w:rPr>
        <w:drawing>
          <wp:inline distT="0" distB="0" distL="0" distR="0" wp14:anchorId="6D883FF9" wp14:editId="1F0B2786">
            <wp:extent cx="3686175" cy="352162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2664" cy="3537374"/>
                    </a:xfrm>
                    <a:prstGeom prst="rect">
                      <a:avLst/>
                    </a:prstGeom>
                    <a:noFill/>
                  </pic:spPr>
                </pic:pic>
              </a:graphicData>
            </a:graphic>
          </wp:inline>
        </w:drawing>
      </w:r>
    </w:p>
    <w:p w:rsidR="00CA18F6" w:rsidRDefault="00CA18F6">
      <w:pPr>
        <w:rPr>
          <w:sz w:val="24"/>
        </w:rPr>
      </w:pPr>
      <w:r>
        <w:rPr>
          <w:sz w:val="24"/>
        </w:rPr>
        <w:t xml:space="preserve">When the IDEA score is subtracted from the FSSRI score, </w:t>
      </w:r>
      <w:r w:rsidR="00651073">
        <w:rPr>
          <w:sz w:val="24"/>
        </w:rPr>
        <w:t>it is obvious that differences are quite small for most classes. The mean difference between scores is -0.09 (</w:t>
      </w:r>
      <w:proofErr w:type="spellStart"/>
      <w:proofErr w:type="gramStart"/>
      <w:r w:rsidR="00651073">
        <w:rPr>
          <w:sz w:val="24"/>
        </w:rPr>
        <w:t>sd</w:t>
      </w:r>
      <w:proofErr w:type="spellEnd"/>
      <w:r w:rsidR="00651073">
        <w:rPr>
          <w:sz w:val="24"/>
        </w:rPr>
        <w:t>=</w:t>
      </w:r>
      <w:proofErr w:type="gramEnd"/>
      <w:r w:rsidR="00651073">
        <w:rPr>
          <w:sz w:val="24"/>
        </w:rPr>
        <w:t>0.28). Therefore, on average, scores with the new instrument are approximately one tenth of a point lower</w:t>
      </w:r>
      <w:r w:rsidR="00334371">
        <w:rPr>
          <w:sz w:val="24"/>
        </w:rPr>
        <w:t xml:space="preserve"> than the IDEA rating for the same class</w:t>
      </w:r>
      <w:r w:rsidR="00651073">
        <w:rPr>
          <w:sz w:val="24"/>
        </w:rPr>
        <w:t xml:space="preserve">.  </w:t>
      </w:r>
    </w:p>
    <w:p w:rsidR="00651073" w:rsidRDefault="00651073">
      <w:pPr>
        <w:rPr>
          <w:sz w:val="24"/>
        </w:rPr>
      </w:pPr>
      <w:r>
        <w:rPr>
          <w:noProof/>
        </w:rPr>
        <w:drawing>
          <wp:inline distT="0" distB="0" distL="0" distR="0" wp14:anchorId="22FA8547" wp14:editId="0A99EC5F">
            <wp:extent cx="4686300" cy="25241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5620" w:rsidRDefault="00375620">
      <w:r>
        <w:t xml:space="preserve">Out of the 67 classes in the pilot study with both IDEA and FSSRI data, 84% had a score that was within 0.02 of a point of the IDEA score. 24 had identical scores, 21 had a FSSRI score that was lower by 0.2 of a point, and 11 had a FSSRI score that was higher by 0.2 of a point. Only 2 classes (3%) had a score that differed by 1 full point (on the 5-point scale) and those both scored higher on FSSRI than on IDEA. </w:t>
      </w:r>
    </w:p>
    <w:p w:rsidR="00651073" w:rsidRDefault="00651073">
      <w:pPr>
        <w:rPr>
          <w:sz w:val="24"/>
        </w:rPr>
      </w:pPr>
      <w:r>
        <w:rPr>
          <w:sz w:val="24"/>
        </w:rPr>
        <w:t xml:space="preserve">Therefore, most faculty will not see much change in their student ratings. </w:t>
      </w:r>
      <w:r w:rsidR="00C4424E">
        <w:rPr>
          <w:sz w:val="24"/>
        </w:rPr>
        <w:t xml:space="preserve">As the histogram of differences between the two scores illustrates, two classes in the pilot had an </w:t>
      </w:r>
      <w:r w:rsidR="0083269D">
        <w:rPr>
          <w:sz w:val="24"/>
        </w:rPr>
        <w:t xml:space="preserve">FSSRI score that was a full point (on a 5-point scale) higher than the IDEA rating, but the rest clustered close to the IDEA score. </w:t>
      </w:r>
    </w:p>
    <w:p w:rsidR="0082602C" w:rsidRPr="00527A27" w:rsidRDefault="00527A27">
      <w:pPr>
        <w:rPr>
          <w:sz w:val="24"/>
          <w:u w:val="single"/>
        </w:rPr>
      </w:pPr>
      <w:r>
        <w:rPr>
          <w:sz w:val="24"/>
          <w:u w:val="single"/>
        </w:rPr>
        <w:t xml:space="preserve">Other Student Reports </w:t>
      </w:r>
    </w:p>
    <w:p w:rsidR="0082602C" w:rsidRDefault="00EF3C60">
      <w:pPr>
        <w:rPr>
          <w:sz w:val="24"/>
        </w:rPr>
      </w:pPr>
      <w:r>
        <w:rPr>
          <w:sz w:val="24"/>
        </w:rPr>
        <w:t>S</w:t>
      </w:r>
      <w:r w:rsidR="00527A27">
        <w:rPr>
          <w:sz w:val="24"/>
        </w:rPr>
        <w:t xml:space="preserve">cores on </w:t>
      </w:r>
      <w:r w:rsidR="00651073">
        <w:rPr>
          <w:sz w:val="24"/>
        </w:rPr>
        <w:t xml:space="preserve">the FSSRI </w:t>
      </w:r>
      <w:r w:rsidR="0083269D">
        <w:rPr>
          <w:sz w:val="24"/>
        </w:rPr>
        <w:t xml:space="preserve">are also </w:t>
      </w:r>
      <w:r w:rsidR="00527A27">
        <w:rPr>
          <w:sz w:val="24"/>
        </w:rPr>
        <w:t xml:space="preserve">correlated with other student reports. </w:t>
      </w:r>
      <w:r>
        <w:rPr>
          <w:sz w:val="24"/>
        </w:rPr>
        <w:t xml:space="preserve">Most notably, the student subjective assessment of the course is strongly correlated with the total score.  </w:t>
      </w:r>
      <w:r w:rsidR="0061333C">
        <w:rPr>
          <w:sz w:val="24"/>
        </w:rPr>
        <w:t xml:space="preserve">Correlations were all significant in the expected directions. </w:t>
      </w:r>
    </w:p>
    <w:tbl>
      <w:tblPr>
        <w:tblStyle w:val="TableGrid"/>
        <w:tblW w:w="0" w:type="auto"/>
        <w:tblLook w:val="04A0" w:firstRow="1" w:lastRow="0" w:firstColumn="1" w:lastColumn="0" w:noHBand="0" w:noVBand="1"/>
      </w:tblPr>
      <w:tblGrid>
        <w:gridCol w:w="4225"/>
        <w:gridCol w:w="2160"/>
      </w:tblGrid>
      <w:tr w:rsidR="0061333C" w:rsidTr="003D1805">
        <w:tc>
          <w:tcPr>
            <w:tcW w:w="4225" w:type="dxa"/>
          </w:tcPr>
          <w:p w:rsidR="0061333C" w:rsidRDefault="0061333C">
            <w:pPr>
              <w:rPr>
                <w:sz w:val="24"/>
              </w:rPr>
            </w:pPr>
          </w:p>
        </w:tc>
        <w:tc>
          <w:tcPr>
            <w:tcW w:w="2160" w:type="dxa"/>
          </w:tcPr>
          <w:p w:rsidR="0061333C" w:rsidRDefault="00651073" w:rsidP="0061333C">
            <w:pPr>
              <w:jc w:val="center"/>
              <w:rPr>
                <w:sz w:val="24"/>
              </w:rPr>
            </w:pPr>
            <w:r>
              <w:rPr>
                <w:sz w:val="24"/>
              </w:rPr>
              <w:t>Correlation with total FSSRI score</w:t>
            </w:r>
          </w:p>
          <w:p w:rsidR="0061333C" w:rsidRDefault="00A350EB" w:rsidP="0061333C">
            <w:pPr>
              <w:jc w:val="center"/>
              <w:rPr>
                <w:sz w:val="24"/>
              </w:rPr>
            </w:pPr>
            <w:r>
              <w:rPr>
                <w:sz w:val="24"/>
              </w:rPr>
              <w:t>r</w:t>
            </w:r>
            <w:r w:rsidR="0061333C">
              <w:rPr>
                <w:sz w:val="24"/>
                <w:vertAlign w:val="superscript"/>
              </w:rPr>
              <w:t xml:space="preserve"> </w:t>
            </w:r>
            <w:r w:rsidR="0061333C">
              <w:rPr>
                <w:sz w:val="24"/>
              </w:rPr>
              <w:t xml:space="preserve"> (p-value)  </w:t>
            </w:r>
          </w:p>
        </w:tc>
      </w:tr>
      <w:tr w:rsidR="0061333C" w:rsidTr="003D1805">
        <w:tc>
          <w:tcPr>
            <w:tcW w:w="4225" w:type="dxa"/>
            <w:shd w:val="clear" w:color="auto" w:fill="FFFF00"/>
          </w:tcPr>
          <w:p w:rsidR="0061333C" w:rsidRDefault="0061333C">
            <w:pPr>
              <w:rPr>
                <w:sz w:val="24"/>
              </w:rPr>
            </w:pPr>
            <w:r>
              <w:rPr>
                <w:sz w:val="24"/>
              </w:rPr>
              <w:t xml:space="preserve">Student attendance </w:t>
            </w:r>
          </w:p>
        </w:tc>
        <w:tc>
          <w:tcPr>
            <w:tcW w:w="2160" w:type="dxa"/>
            <w:shd w:val="clear" w:color="auto" w:fill="FFFF00"/>
          </w:tcPr>
          <w:p w:rsidR="0061333C" w:rsidRDefault="0061333C" w:rsidP="003D1805">
            <w:pPr>
              <w:jc w:val="center"/>
              <w:rPr>
                <w:sz w:val="24"/>
              </w:rPr>
            </w:pPr>
            <w:r>
              <w:rPr>
                <w:sz w:val="24"/>
              </w:rPr>
              <w:t>.07 (p=.001)</w:t>
            </w:r>
          </w:p>
        </w:tc>
      </w:tr>
      <w:tr w:rsidR="0061333C" w:rsidTr="003D1805">
        <w:tc>
          <w:tcPr>
            <w:tcW w:w="4225" w:type="dxa"/>
            <w:shd w:val="clear" w:color="auto" w:fill="FFFF00"/>
          </w:tcPr>
          <w:p w:rsidR="0061333C" w:rsidRDefault="0061333C">
            <w:pPr>
              <w:rPr>
                <w:sz w:val="24"/>
              </w:rPr>
            </w:pPr>
            <w:r>
              <w:rPr>
                <w:sz w:val="24"/>
              </w:rPr>
              <w:t xml:space="preserve">Expected grade </w:t>
            </w:r>
          </w:p>
        </w:tc>
        <w:tc>
          <w:tcPr>
            <w:tcW w:w="2160" w:type="dxa"/>
            <w:shd w:val="clear" w:color="auto" w:fill="FFFF00"/>
          </w:tcPr>
          <w:p w:rsidR="0061333C" w:rsidRDefault="0061333C" w:rsidP="003D1805">
            <w:pPr>
              <w:jc w:val="center"/>
              <w:rPr>
                <w:sz w:val="24"/>
              </w:rPr>
            </w:pPr>
            <w:r>
              <w:rPr>
                <w:sz w:val="24"/>
              </w:rPr>
              <w:t>.28 (p&lt;.0001)</w:t>
            </w:r>
          </w:p>
        </w:tc>
      </w:tr>
      <w:tr w:rsidR="0061333C" w:rsidTr="003D1805">
        <w:tc>
          <w:tcPr>
            <w:tcW w:w="4225" w:type="dxa"/>
            <w:shd w:val="clear" w:color="auto" w:fill="FFFF00"/>
          </w:tcPr>
          <w:p w:rsidR="0061333C" w:rsidRDefault="0061333C">
            <w:pPr>
              <w:rPr>
                <w:sz w:val="24"/>
              </w:rPr>
            </w:pPr>
            <w:r>
              <w:rPr>
                <w:sz w:val="24"/>
              </w:rPr>
              <w:t xml:space="preserve">Frequency of instructor absence </w:t>
            </w:r>
          </w:p>
        </w:tc>
        <w:tc>
          <w:tcPr>
            <w:tcW w:w="2160" w:type="dxa"/>
            <w:shd w:val="clear" w:color="auto" w:fill="FFFF00"/>
          </w:tcPr>
          <w:p w:rsidR="0061333C" w:rsidRDefault="0061333C" w:rsidP="003D1805">
            <w:pPr>
              <w:jc w:val="center"/>
              <w:rPr>
                <w:sz w:val="24"/>
              </w:rPr>
            </w:pPr>
            <w:r>
              <w:rPr>
                <w:sz w:val="24"/>
              </w:rPr>
              <w:t>-.12 (p&lt;.0001)</w:t>
            </w:r>
          </w:p>
        </w:tc>
      </w:tr>
      <w:tr w:rsidR="0061333C" w:rsidTr="003D1805">
        <w:tc>
          <w:tcPr>
            <w:tcW w:w="4225" w:type="dxa"/>
            <w:shd w:val="clear" w:color="auto" w:fill="FFFF00"/>
          </w:tcPr>
          <w:p w:rsidR="0061333C" w:rsidRDefault="0061333C">
            <w:pPr>
              <w:rPr>
                <w:sz w:val="24"/>
              </w:rPr>
            </w:pPr>
            <w:r>
              <w:rPr>
                <w:sz w:val="24"/>
              </w:rPr>
              <w:t xml:space="preserve">Instructor starts and ends on time </w:t>
            </w:r>
          </w:p>
        </w:tc>
        <w:tc>
          <w:tcPr>
            <w:tcW w:w="2160" w:type="dxa"/>
            <w:shd w:val="clear" w:color="auto" w:fill="FFFF00"/>
          </w:tcPr>
          <w:p w:rsidR="0061333C" w:rsidRDefault="00A350EB" w:rsidP="003D1805">
            <w:pPr>
              <w:jc w:val="center"/>
              <w:rPr>
                <w:sz w:val="24"/>
              </w:rPr>
            </w:pPr>
            <w:r>
              <w:rPr>
                <w:sz w:val="24"/>
              </w:rPr>
              <w:t>.35</w:t>
            </w:r>
            <w:r w:rsidR="0061333C">
              <w:rPr>
                <w:sz w:val="24"/>
              </w:rPr>
              <w:t xml:space="preserve"> (p&lt;.0001)</w:t>
            </w:r>
          </w:p>
        </w:tc>
      </w:tr>
      <w:tr w:rsidR="0061333C" w:rsidTr="003D1805">
        <w:tc>
          <w:tcPr>
            <w:tcW w:w="4225" w:type="dxa"/>
            <w:shd w:val="clear" w:color="auto" w:fill="FFFF00"/>
          </w:tcPr>
          <w:p w:rsidR="0061333C" w:rsidRDefault="0061333C">
            <w:pPr>
              <w:rPr>
                <w:sz w:val="24"/>
              </w:rPr>
            </w:pPr>
            <w:r>
              <w:rPr>
                <w:sz w:val="24"/>
              </w:rPr>
              <w:t xml:space="preserve">Class difficulty </w:t>
            </w:r>
          </w:p>
        </w:tc>
        <w:tc>
          <w:tcPr>
            <w:tcW w:w="2160" w:type="dxa"/>
            <w:shd w:val="clear" w:color="auto" w:fill="FFFF00"/>
          </w:tcPr>
          <w:p w:rsidR="0061333C" w:rsidRDefault="0061333C" w:rsidP="003D1805">
            <w:pPr>
              <w:jc w:val="center"/>
              <w:rPr>
                <w:sz w:val="24"/>
              </w:rPr>
            </w:pPr>
            <w:r>
              <w:rPr>
                <w:sz w:val="24"/>
              </w:rPr>
              <w:t>-.22 (p&lt;.0001)</w:t>
            </w:r>
          </w:p>
        </w:tc>
      </w:tr>
      <w:tr w:rsidR="0061333C" w:rsidTr="003D1805">
        <w:tc>
          <w:tcPr>
            <w:tcW w:w="4225" w:type="dxa"/>
            <w:shd w:val="clear" w:color="auto" w:fill="FFFF00"/>
          </w:tcPr>
          <w:p w:rsidR="0061333C" w:rsidRDefault="0061333C" w:rsidP="0061333C">
            <w:pPr>
              <w:rPr>
                <w:sz w:val="24"/>
              </w:rPr>
            </w:pPr>
            <w:r>
              <w:rPr>
                <w:sz w:val="24"/>
              </w:rPr>
              <w:t>Overall this class was…</w:t>
            </w:r>
          </w:p>
        </w:tc>
        <w:tc>
          <w:tcPr>
            <w:tcW w:w="2160" w:type="dxa"/>
            <w:shd w:val="clear" w:color="auto" w:fill="FFFF00"/>
          </w:tcPr>
          <w:p w:rsidR="0061333C" w:rsidRDefault="00A350EB" w:rsidP="003D1805">
            <w:pPr>
              <w:jc w:val="center"/>
              <w:rPr>
                <w:sz w:val="24"/>
              </w:rPr>
            </w:pPr>
            <w:r>
              <w:rPr>
                <w:sz w:val="24"/>
              </w:rPr>
              <w:t>.76</w:t>
            </w:r>
            <w:r w:rsidR="0061333C">
              <w:rPr>
                <w:sz w:val="24"/>
              </w:rPr>
              <w:t xml:space="preserve"> (p&lt;.0001)</w:t>
            </w:r>
          </w:p>
        </w:tc>
      </w:tr>
    </w:tbl>
    <w:p w:rsidR="0061333C" w:rsidRDefault="0061333C">
      <w:pPr>
        <w:rPr>
          <w:sz w:val="24"/>
        </w:rPr>
      </w:pPr>
    </w:p>
    <w:p w:rsidR="0083269D" w:rsidRPr="003D411E" w:rsidRDefault="00A350EB">
      <w:pPr>
        <w:rPr>
          <w:sz w:val="24"/>
        </w:rPr>
      </w:pPr>
      <w:r>
        <w:rPr>
          <w:sz w:val="24"/>
        </w:rPr>
        <w:t>This is evidence of validity</w:t>
      </w:r>
      <w:r w:rsidR="00651073">
        <w:rPr>
          <w:sz w:val="24"/>
        </w:rPr>
        <w:t xml:space="preserve"> because the instrument is correlated in theoretically expected ways with other factors</w:t>
      </w:r>
      <w:r>
        <w:rPr>
          <w:sz w:val="24"/>
        </w:rPr>
        <w:t xml:space="preserve">. </w:t>
      </w:r>
    </w:p>
    <w:p w:rsidR="0082602C" w:rsidRPr="00877E31" w:rsidRDefault="00877E31">
      <w:pPr>
        <w:rPr>
          <w:b/>
          <w:sz w:val="36"/>
        </w:rPr>
      </w:pPr>
      <w:r w:rsidRPr="00877E31">
        <w:rPr>
          <w:b/>
          <w:sz w:val="36"/>
        </w:rPr>
        <w:t xml:space="preserve">Results – </w:t>
      </w:r>
      <w:r w:rsidR="00305D56">
        <w:rPr>
          <w:b/>
          <w:sz w:val="36"/>
        </w:rPr>
        <w:t>Adjustment of Scores</w:t>
      </w:r>
    </w:p>
    <w:p w:rsidR="00305D56" w:rsidRDefault="00305D56">
      <w:pPr>
        <w:rPr>
          <w:sz w:val="24"/>
        </w:rPr>
      </w:pPr>
      <w:r>
        <w:rPr>
          <w:sz w:val="24"/>
        </w:rPr>
        <w:t xml:space="preserve">APM 322 exhorts that “care should be taken to avoid bias” based on protected aspects of identity of the instructor, including race and sex. These are areas of concern because published empirical evidence suggests that there are known biases of students against women and people of color that are </w:t>
      </w:r>
      <w:r w:rsidR="004A5142">
        <w:rPr>
          <w:sz w:val="24"/>
        </w:rPr>
        <w:t xml:space="preserve">elicited </w:t>
      </w:r>
      <w:r w:rsidR="0083269D">
        <w:rPr>
          <w:sz w:val="24"/>
        </w:rPr>
        <w:t>i</w:t>
      </w:r>
      <w:r>
        <w:rPr>
          <w:sz w:val="24"/>
        </w:rPr>
        <w:t>n student rating instruments</w:t>
      </w:r>
      <w:r w:rsidR="0083269D">
        <w:rPr>
          <w:sz w:val="24"/>
        </w:rPr>
        <w:t xml:space="preserve"> (e.g., </w:t>
      </w:r>
      <w:proofErr w:type="spellStart"/>
      <w:r w:rsidR="0083269D">
        <w:rPr>
          <w:sz w:val="24"/>
        </w:rPr>
        <w:t>MacNell</w:t>
      </w:r>
      <w:proofErr w:type="spellEnd"/>
      <w:r w:rsidR="0083269D">
        <w:rPr>
          <w:sz w:val="24"/>
        </w:rPr>
        <w:t>, Driscoll, &amp; Hunt, 2014)</w:t>
      </w:r>
      <w:r>
        <w:rPr>
          <w:sz w:val="24"/>
        </w:rPr>
        <w:t xml:space="preserve">. </w:t>
      </w:r>
    </w:p>
    <w:p w:rsidR="00305D56" w:rsidRDefault="00305D56">
      <w:pPr>
        <w:rPr>
          <w:sz w:val="24"/>
        </w:rPr>
      </w:pPr>
      <w:r>
        <w:rPr>
          <w:sz w:val="24"/>
        </w:rPr>
        <w:t>Furthermore, previous research has identified other aspects of the class that are independent of the quality of instruction, suc</w:t>
      </w:r>
      <w:r w:rsidR="00A350EB">
        <w:rPr>
          <w:sz w:val="24"/>
        </w:rPr>
        <w:t xml:space="preserve">h as class size and level, but </w:t>
      </w:r>
      <w:r>
        <w:rPr>
          <w:sz w:val="24"/>
        </w:rPr>
        <w:t xml:space="preserve">are known to bias student ratings. Since the faculty member should not be held accountable in their teaching evaluation for such factors, APM 322 directs that “When possible, the instructor should also receive adjusted scores that take into account external factors beyond the control of the instructor.” </w:t>
      </w:r>
    </w:p>
    <w:p w:rsidR="00D406E4" w:rsidRDefault="00B14F1C">
      <w:pPr>
        <w:rPr>
          <w:sz w:val="24"/>
        </w:rPr>
      </w:pPr>
      <w:r>
        <w:rPr>
          <w:sz w:val="24"/>
        </w:rPr>
        <w:t>Previous research suggests that multiple external factors do influence ratings, but that effect sizes are very small (</w:t>
      </w:r>
      <w:proofErr w:type="spellStart"/>
      <w:r>
        <w:rPr>
          <w:sz w:val="24"/>
        </w:rPr>
        <w:t>Beran</w:t>
      </w:r>
      <w:proofErr w:type="spellEnd"/>
      <w:r>
        <w:rPr>
          <w:sz w:val="24"/>
        </w:rPr>
        <w:t xml:space="preserve"> &amp; </w:t>
      </w:r>
      <w:proofErr w:type="spellStart"/>
      <w:r>
        <w:rPr>
          <w:sz w:val="24"/>
        </w:rPr>
        <w:t>Violato</w:t>
      </w:r>
      <w:proofErr w:type="spellEnd"/>
      <w:r>
        <w:rPr>
          <w:sz w:val="24"/>
        </w:rPr>
        <w:t>, 2005). Such analyses are generally done with samples that include hundreds of thousands of class evaluations, so ours is a pitifully s</w:t>
      </w:r>
      <w:r w:rsidR="00A350EB">
        <w:rPr>
          <w:sz w:val="24"/>
        </w:rPr>
        <w:t>mall sample in comparison. N</w:t>
      </w:r>
      <w:r>
        <w:rPr>
          <w:sz w:val="24"/>
        </w:rPr>
        <w:t xml:space="preserve">onetheless, we </w:t>
      </w:r>
      <w:r w:rsidR="00305D56">
        <w:rPr>
          <w:sz w:val="24"/>
        </w:rPr>
        <w:t>measured and explored several external factors that have previously been identified as sources of bias</w:t>
      </w:r>
      <w:r>
        <w:rPr>
          <w:sz w:val="24"/>
        </w:rPr>
        <w:t>, just to see if the</w:t>
      </w:r>
      <w:r w:rsidR="00A96D7A">
        <w:rPr>
          <w:sz w:val="24"/>
        </w:rPr>
        <w:t>re are trends</w:t>
      </w:r>
      <w:r w:rsidR="00305D56">
        <w:rPr>
          <w:sz w:val="24"/>
        </w:rPr>
        <w:t xml:space="preserve">. </w:t>
      </w:r>
    </w:p>
    <w:p w:rsidR="00D406E4" w:rsidRDefault="00A96D7A">
      <w:pPr>
        <w:rPr>
          <w:sz w:val="24"/>
        </w:rPr>
      </w:pPr>
      <w:r>
        <w:rPr>
          <w:sz w:val="24"/>
          <w:u w:val="single"/>
        </w:rPr>
        <w:t xml:space="preserve">Course Variables </w:t>
      </w:r>
    </w:p>
    <w:p w:rsidR="00D406E4" w:rsidRDefault="00D406E4">
      <w:pPr>
        <w:rPr>
          <w:sz w:val="24"/>
        </w:rPr>
      </w:pPr>
      <w:r>
        <w:rPr>
          <w:sz w:val="24"/>
        </w:rPr>
        <w:t xml:space="preserve">We looked at class size two ways. First, a simple correlation between number of students enrolled and summary rating was not </w:t>
      </w:r>
      <w:r w:rsidR="008E4D77">
        <w:rPr>
          <w:sz w:val="24"/>
        </w:rPr>
        <w:t xml:space="preserve">statistically </w:t>
      </w:r>
      <w:r>
        <w:rPr>
          <w:sz w:val="24"/>
        </w:rPr>
        <w:t>sig</w:t>
      </w:r>
      <w:r w:rsidR="00A350EB">
        <w:rPr>
          <w:sz w:val="24"/>
        </w:rPr>
        <w:t>nificant</w:t>
      </w:r>
      <w:r w:rsidR="008E4D77">
        <w:rPr>
          <w:sz w:val="24"/>
        </w:rPr>
        <w:t xml:space="preserve"> </w:t>
      </w:r>
      <w:r w:rsidR="00A350EB">
        <w:rPr>
          <w:sz w:val="24"/>
        </w:rPr>
        <w:t>(r = -0.13</w:t>
      </w:r>
      <w:r>
        <w:rPr>
          <w:sz w:val="24"/>
        </w:rPr>
        <w:t>, p=.</w:t>
      </w:r>
      <w:r w:rsidR="00A350EB">
        <w:rPr>
          <w:sz w:val="24"/>
        </w:rPr>
        <w:t>26</w:t>
      </w:r>
      <w:r>
        <w:rPr>
          <w:sz w:val="24"/>
        </w:rPr>
        <w:t xml:space="preserve">). </w:t>
      </w:r>
    </w:p>
    <w:p w:rsidR="00D406E4" w:rsidRDefault="00D406E4">
      <w:pPr>
        <w:rPr>
          <w:sz w:val="24"/>
        </w:rPr>
      </w:pPr>
      <w:r>
        <w:rPr>
          <w:sz w:val="24"/>
        </w:rPr>
        <w:t>Dividing the classes into small (&lt;26</w:t>
      </w:r>
      <w:r w:rsidR="00EA2EE1">
        <w:rPr>
          <w:sz w:val="24"/>
        </w:rPr>
        <w:t xml:space="preserve"> students; n=</w:t>
      </w:r>
      <w:r w:rsidR="008E4D77">
        <w:rPr>
          <w:sz w:val="24"/>
        </w:rPr>
        <w:t>30</w:t>
      </w:r>
      <w:r w:rsidR="00EA2EE1">
        <w:rPr>
          <w:sz w:val="24"/>
        </w:rPr>
        <w:t>)</w:t>
      </w:r>
      <w:r>
        <w:rPr>
          <w:sz w:val="24"/>
        </w:rPr>
        <w:t>, medium (26-50 students</w:t>
      </w:r>
      <w:r w:rsidR="00EA2EE1">
        <w:rPr>
          <w:sz w:val="24"/>
        </w:rPr>
        <w:t>; n=44</w:t>
      </w:r>
      <w:r>
        <w:rPr>
          <w:sz w:val="24"/>
        </w:rPr>
        <w:t>) and large (&gt;50</w:t>
      </w:r>
      <w:r w:rsidR="00EA2EE1">
        <w:rPr>
          <w:sz w:val="24"/>
        </w:rPr>
        <w:t>; n=7</w:t>
      </w:r>
      <w:r>
        <w:rPr>
          <w:sz w:val="24"/>
        </w:rPr>
        <w:t xml:space="preserve">) </w:t>
      </w:r>
      <w:r w:rsidR="00EA2EE1">
        <w:rPr>
          <w:sz w:val="24"/>
        </w:rPr>
        <w:t>also did not demonstrate any statis</w:t>
      </w:r>
      <w:r w:rsidR="008E4D77">
        <w:rPr>
          <w:sz w:val="24"/>
        </w:rPr>
        <w:t xml:space="preserve">tically significant differences (F=1.24, </w:t>
      </w:r>
      <w:proofErr w:type="spellStart"/>
      <w:proofErr w:type="gramStart"/>
      <w:r w:rsidR="008E4D77">
        <w:rPr>
          <w:sz w:val="24"/>
        </w:rPr>
        <w:t>df</w:t>
      </w:r>
      <w:proofErr w:type="spellEnd"/>
      <w:r w:rsidR="008E4D77">
        <w:rPr>
          <w:sz w:val="24"/>
        </w:rPr>
        <w:t>=</w:t>
      </w:r>
      <w:proofErr w:type="gramEnd"/>
      <w:r w:rsidR="008E4D77">
        <w:rPr>
          <w:sz w:val="24"/>
        </w:rPr>
        <w:t>2, p=.30), although there is a trend toward lower ratings for the largest classes.</w:t>
      </w:r>
      <w:r w:rsidR="00EA2EE1">
        <w:rPr>
          <w:sz w:val="24"/>
        </w:rPr>
        <w:t xml:space="preserve"> </w:t>
      </w:r>
    </w:p>
    <w:tbl>
      <w:tblPr>
        <w:tblStyle w:val="TableGrid"/>
        <w:tblW w:w="0" w:type="auto"/>
        <w:tblLook w:val="04A0" w:firstRow="1" w:lastRow="0" w:firstColumn="1" w:lastColumn="0" w:noHBand="0" w:noVBand="1"/>
      </w:tblPr>
      <w:tblGrid>
        <w:gridCol w:w="2875"/>
        <w:gridCol w:w="2160"/>
      </w:tblGrid>
      <w:tr w:rsidR="008E4D77" w:rsidTr="00C03982">
        <w:tc>
          <w:tcPr>
            <w:tcW w:w="2875" w:type="dxa"/>
            <w:shd w:val="clear" w:color="auto" w:fill="D9D9D9" w:themeFill="background1" w:themeFillShade="D9"/>
          </w:tcPr>
          <w:p w:rsidR="008E4D77" w:rsidRDefault="008E4D77" w:rsidP="00C03982">
            <w:pPr>
              <w:rPr>
                <w:sz w:val="24"/>
              </w:rPr>
            </w:pPr>
          </w:p>
        </w:tc>
        <w:tc>
          <w:tcPr>
            <w:tcW w:w="2160" w:type="dxa"/>
            <w:shd w:val="clear" w:color="auto" w:fill="D9D9D9" w:themeFill="background1" w:themeFillShade="D9"/>
          </w:tcPr>
          <w:p w:rsidR="008E4D77" w:rsidRDefault="008E4D77" w:rsidP="00C03982">
            <w:pPr>
              <w:rPr>
                <w:sz w:val="24"/>
              </w:rPr>
            </w:pPr>
            <w:r>
              <w:rPr>
                <w:sz w:val="24"/>
              </w:rPr>
              <w:t>FSSRI Total Score</w:t>
            </w:r>
          </w:p>
          <w:p w:rsidR="008E4D77" w:rsidRDefault="008E4D77" w:rsidP="00C03982">
            <w:pPr>
              <w:rPr>
                <w:sz w:val="24"/>
              </w:rPr>
            </w:pPr>
            <w:r>
              <w:rPr>
                <w:sz w:val="24"/>
              </w:rPr>
              <w:t>Mean (</w:t>
            </w:r>
            <w:proofErr w:type="spellStart"/>
            <w:r>
              <w:rPr>
                <w:sz w:val="24"/>
              </w:rPr>
              <w:t>sd</w:t>
            </w:r>
            <w:proofErr w:type="spellEnd"/>
            <w:r>
              <w:rPr>
                <w:sz w:val="24"/>
              </w:rPr>
              <w:t xml:space="preserve">) </w:t>
            </w:r>
          </w:p>
        </w:tc>
      </w:tr>
      <w:tr w:rsidR="008E4D77" w:rsidTr="00C03982">
        <w:tc>
          <w:tcPr>
            <w:tcW w:w="2875" w:type="dxa"/>
          </w:tcPr>
          <w:p w:rsidR="008E4D77" w:rsidRDefault="008E4D77" w:rsidP="008E4D77">
            <w:pPr>
              <w:rPr>
                <w:sz w:val="24"/>
              </w:rPr>
            </w:pPr>
            <w:r>
              <w:rPr>
                <w:sz w:val="24"/>
              </w:rPr>
              <w:t>Small  (=n=30)</w:t>
            </w:r>
          </w:p>
        </w:tc>
        <w:tc>
          <w:tcPr>
            <w:tcW w:w="2160" w:type="dxa"/>
          </w:tcPr>
          <w:p w:rsidR="008E4D77" w:rsidRDefault="008E4D77" w:rsidP="008E4D77">
            <w:pPr>
              <w:jc w:val="center"/>
              <w:rPr>
                <w:sz w:val="24"/>
              </w:rPr>
            </w:pPr>
            <w:r>
              <w:rPr>
                <w:sz w:val="24"/>
              </w:rPr>
              <w:t>4.3 (.4)</w:t>
            </w:r>
          </w:p>
        </w:tc>
      </w:tr>
      <w:tr w:rsidR="008E4D77" w:rsidTr="00C03982">
        <w:tc>
          <w:tcPr>
            <w:tcW w:w="2875" w:type="dxa"/>
          </w:tcPr>
          <w:p w:rsidR="008E4D77" w:rsidRDefault="008E4D77" w:rsidP="008E4D77">
            <w:pPr>
              <w:rPr>
                <w:sz w:val="24"/>
              </w:rPr>
            </w:pPr>
            <w:r>
              <w:rPr>
                <w:sz w:val="24"/>
              </w:rPr>
              <w:t xml:space="preserve">Medium (n=44) </w:t>
            </w:r>
          </w:p>
        </w:tc>
        <w:tc>
          <w:tcPr>
            <w:tcW w:w="2160" w:type="dxa"/>
          </w:tcPr>
          <w:p w:rsidR="008E4D77" w:rsidRDefault="008E4D77" w:rsidP="008E4D77">
            <w:pPr>
              <w:jc w:val="center"/>
              <w:rPr>
                <w:sz w:val="24"/>
              </w:rPr>
            </w:pPr>
            <w:r>
              <w:rPr>
                <w:sz w:val="24"/>
              </w:rPr>
              <w:t>4.4 (.4)</w:t>
            </w:r>
          </w:p>
        </w:tc>
      </w:tr>
      <w:tr w:rsidR="008E4D77" w:rsidTr="00C03982">
        <w:tc>
          <w:tcPr>
            <w:tcW w:w="2875" w:type="dxa"/>
          </w:tcPr>
          <w:p w:rsidR="008E4D77" w:rsidRDefault="008E4D77" w:rsidP="008E4D77">
            <w:pPr>
              <w:rPr>
                <w:sz w:val="24"/>
              </w:rPr>
            </w:pPr>
            <w:r>
              <w:rPr>
                <w:sz w:val="24"/>
              </w:rPr>
              <w:t xml:space="preserve">Large (n=7) </w:t>
            </w:r>
          </w:p>
        </w:tc>
        <w:tc>
          <w:tcPr>
            <w:tcW w:w="2160" w:type="dxa"/>
          </w:tcPr>
          <w:p w:rsidR="008E4D77" w:rsidRDefault="008E4D77" w:rsidP="008E4D77">
            <w:pPr>
              <w:jc w:val="center"/>
              <w:rPr>
                <w:sz w:val="24"/>
              </w:rPr>
            </w:pPr>
            <w:r>
              <w:rPr>
                <w:sz w:val="24"/>
              </w:rPr>
              <w:t>4.1 (.4)</w:t>
            </w:r>
          </w:p>
        </w:tc>
      </w:tr>
    </w:tbl>
    <w:p w:rsidR="008E4D77" w:rsidRDefault="008E4D77">
      <w:pPr>
        <w:rPr>
          <w:sz w:val="24"/>
        </w:rPr>
      </w:pPr>
    </w:p>
    <w:p w:rsidR="00C01C52" w:rsidRDefault="00A350EB" w:rsidP="00D406E4">
      <w:pPr>
        <w:rPr>
          <w:sz w:val="24"/>
        </w:rPr>
      </w:pPr>
      <w:r>
        <w:rPr>
          <w:sz w:val="24"/>
        </w:rPr>
        <w:t xml:space="preserve">When </w:t>
      </w:r>
      <w:r w:rsidR="007B4535">
        <w:rPr>
          <w:sz w:val="24"/>
        </w:rPr>
        <w:t xml:space="preserve">course </w:t>
      </w:r>
      <w:r>
        <w:rPr>
          <w:sz w:val="24"/>
        </w:rPr>
        <w:t>level is coded as lower-division, upper-divis</w:t>
      </w:r>
      <w:r w:rsidR="00C01C52">
        <w:rPr>
          <w:sz w:val="24"/>
        </w:rPr>
        <w:t>i</w:t>
      </w:r>
      <w:r>
        <w:rPr>
          <w:sz w:val="24"/>
        </w:rPr>
        <w:t>on, and credential/graduate, there is no sign</w:t>
      </w:r>
      <w:r w:rsidR="00C01C52">
        <w:rPr>
          <w:sz w:val="24"/>
        </w:rPr>
        <w:t>i</w:t>
      </w:r>
      <w:r>
        <w:rPr>
          <w:sz w:val="24"/>
        </w:rPr>
        <w:t>fica</w:t>
      </w:r>
      <w:r w:rsidR="00C01C52">
        <w:rPr>
          <w:sz w:val="24"/>
        </w:rPr>
        <w:t>n</w:t>
      </w:r>
      <w:r>
        <w:rPr>
          <w:sz w:val="24"/>
        </w:rPr>
        <w:t>t correlation between level and student rating (r=.19, p=.08)</w:t>
      </w:r>
      <w:r w:rsidR="008E4D77">
        <w:rPr>
          <w:sz w:val="24"/>
        </w:rPr>
        <w:t>, although there is a trend toward higher student ratings for credential and graduate level classes</w:t>
      </w:r>
      <w:r>
        <w:rPr>
          <w:sz w:val="24"/>
        </w:rPr>
        <w:t xml:space="preserve">. </w:t>
      </w:r>
    </w:p>
    <w:tbl>
      <w:tblPr>
        <w:tblStyle w:val="TableGrid"/>
        <w:tblW w:w="0" w:type="auto"/>
        <w:tblLook w:val="04A0" w:firstRow="1" w:lastRow="0" w:firstColumn="1" w:lastColumn="0" w:noHBand="0" w:noVBand="1"/>
      </w:tblPr>
      <w:tblGrid>
        <w:gridCol w:w="2875"/>
        <w:gridCol w:w="2160"/>
      </w:tblGrid>
      <w:tr w:rsidR="00EA2EE1" w:rsidTr="00A96D7A">
        <w:tc>
          <w:tcPr>
            <w:tcW w:w="2875" w:type="dxa"/>
            <w:shd w:val="clear" w:color="auto" w:fill="D9D9D9" w:themeFill="background1" w:themeFillShade="D9"/>
          </w:tcPr>
          <w:p w:rsidR="00EA2EE1" w:rsidRDefault="00EA2EE1" w:rsidP="00D406E4">
            <w:pPr>
              <w:rPr>
                <w:sz w:val="24"/>
              </w:rPr>
            </w:pPr>
          </w:p>
        </w:tc>
        <w:tc>
          <w:tcPr>
            <w:tcW w:w="2160" w:type="dxa"/>
            <w:shd w:val="clear" w:color="auto" w:fill="D9D9D9" w:themeFill="background1" w:themeFillShade="D9"/>
          </w:tcPr>
          <w:p w:rsidR="00EA2EE1" w:rsidRDefault="00A96D7A" w:rsidP="00D406E4">
            <w:pPr>
              <w:rPr>
                <w:sz w:val="24"/>
              </w:rPr>
            </w:pPr>
            <w:r>
              <w:rPr>
                <w:sz w:val="24"/>
              </w:rPr>
              <w:t>FSSRI Total Score</w:t>
            </w:r>
          </w:p>
          <w:p w:rsidR="00A96D7A" w:rsidRDefault="00A96D7A" w:rsidP="00D406E4">
            <w:pPr>
              <w:rPr>
                <w:sz w:val="24"/>
              </w:rPr>
            </w:pPr>
            <w:r>
              <w:rPr>
                <w:sz w:val="24"/>
              </w:rPr>
              <w:t>Mean (</w:t>
            </w:r>
            <w:proofErr w:type="spellStart"/>
            <w:r>
              <w:rPr>
                <w:sz w:val="24"/>
              </w:rPr>
              <w:t>sd</w:t>
            </w:r>
            <w:proofErr w:type="spellEnd"/>
            <w:r>
              <w:rPr>
                <w:sz w:val="24"/>
              </w:rPr>
              <w:t xml:space="preserve">) </w:t>
            </w:r>
          </w:p>
        </w:tc>
      </w:tr>
      <w:tr w:rsidR="00EA2EE1" w:rsidTr="00A96D7A">
        <w:tc>
          <w:tcPr>
            <w:tcW w:w="2875" w:type="dxa"/>
          </w:tcPr>
          <w:p w:rsidR="00EA2EE1" w:rsidRDefault="00EA2EE1" w:rsidP="00D406E4">
            <w:pPr>
              <w:rPr>
                <w:sz w:val="24"/>
              </w:rPr>
            </w:pPr>
            <w:r>
              <w:rPr>
                <w:sz w:val="24"/>
              </w:rPr>
              <w:t>Lower-Division (=n=14)</w:t>
            </w:r>
          </w:p>
        </w:tc>
        <w:tc>
          <w:tcPr>
            <w:tcW w:w="2160" w:type="dxa"/>
          </w:tcPr>
          <w:p w:rsidR="00EA2EE1" w:rsidRDefault="00C01C52" w:rsidP="00A96D7A">
            <w:pPr>
              <w:jc w:val="center"/>
              <w:rPr>
                <w:sz w:val="24"/>
              </w:rPr>
            </w:pPr>
            <w:r>
              <w:rPr>
                <w:sz w:val="24"/>
              </w:rPr>
              <w:t>4.2 (.4</w:t>
            </w:r>
            <w:r w:rsidR="00EA2EE1">
              <w:rPr>
                <w:sz w:val="24"/>
              </w:rPr>
              <w:t>)</w:t>
            </w:r>
          </w:p>
        </w:tc>
      </w:tr>
      <w:tr w:rsidR="00EA2EE1" w:rsidTr="00A96D7A">
        <w:tc>
          <w:tcPr>
            <w:tcW w:w="2875" w:type="dxa"/>
          </w:tcPr>
          <w:p w:rsidR="00EA2EE1" w:rsidRDefault="00EA2EE1" w:rsidP="00D406E4">
            <w:pPr>
              <w:rPr>
                <w:sz w:val="24"/>
              </w:rPr>
            </w:pPr>
            <w:r>
              <w:rPr>
                <w:sz w:val="24"/>
              </w:rPr>
              <w:t xml:space="preserve">Upper-division (n=57) </w:t>
            </w:r>
          </w:p>
        </w:tc>
        <w:tc>
          <w:tcPr>
            <w:tcW w:w="2160" w:type="dxa"/>
          </w:tcPr>
          <w:p w:rsidR="00EA2EE1" w:rsidRDefault="00EA2EE1" w:rsidP="00A96D7A">
            <w:pPr>
              <w:jc w:val="center"/>
              <w:rPr>
                <w:sz w:val="24"/>
              </w:rPr>
            </w:pPr>
            <w:r>
              <w:rPr>
                <w:sz w:val="24"/>
              </w:rPr>
              <w:t>4.3 (.4)</w:t>
            </w:r>
          </w:p>
        </w:tc>
      </w:tr>
      <w:tr w:rsidR="00EA2EE1" w:rsidTr="00A96D7A">
        <w:tc>
          <w:tcPr>
            <w:tcW w:w="2875" w:type="dxa"/>
          </w:tcPr>
          <w:p w:rsidR="00EA2EE1" w:rsidRDefault="00EA2EE1" w:rsidP="00D406E4">
            <w:pPr>
              <w:rPr>
                <w:sz w:val="24"/>
              </w:rPr>
            </w:pPr>
            <w:r>
              <w:rPr>
                <w:sz w:val="24"/>
              </w:rPr>
              <w:t xml:space="preserve">Post-Bac (n=8) </w:t>
            </w:r>
          </w:p>
        </w:tc>
        <w:tc>
          <w:tcPr>
            <w:tcW w:w="2160" w:type="dxa"/>
          </w:tcPr>
          <w:p w:rsidR="00EA2EE1" w:rsidRDefault="00C01C52" w:rsidP="00A96D7A">
            <w:pPr>
              <w:jc w:val="center"/>
              <w:rPr>
                <w:sz w:val="24"/>
              </w:rPr>
            </w:pPr>
            <w:r>
              <w:rPr>
                <w:sz w:val="24"/>
              </w:rPr>
              <w:t>4.5 (.</w:t>
            </w:r>
            <w:r w:rsidR="00EA2EE1">
              <w:rPr>
                <w:sz w:val="24"/>
              </w:rPr>
              <w:t>5)</w:t>
            </w:r>
          </w:p>
        </w:tc>
      </w:tr>
    </w:tbl>
    <w:p w:rsidR="00EA2EE1" w:rsidRDefault="00EA2EE1" w:rsidP="00D406E4">
      <w:pPr>
        <w:rPr>
          <w:sz w:val="24"/>
        </w:rPr>
      </w:pPr>
    </w:p>
    <w:p w:rsidR="00D406E4" w:rsidRDefault="00A96D7A">
      <w:pPr>
        <w:rPr>
          <w:sz w:val="24"/>
        </w:rPr>
      </w:pPr>
      <w:r>
        <w:rPr>
          <w:sz w:val="24"/>
          <w:u w:val="single"/>
        </w:rPr>
        <w:t xml:space="preserve">Instructor Variables </w:t>
      </w:r>
    </w:p>
    <w:p w:rsidR="00EA2EE1" w:rsidRPr="00EA2EE1" w:rsidRDefault="00EA2EE1">
      <w:pPr>
        <w:rPr>
          <w:sz w:val="24"/>
        </w:rPr>
      </w:pPr>
      <w:r>
        <w:rPr>
          <w:sz w:val="24"/>
        </w:rPr>
        <w:t>Rank of instructor was not systematically related to summary scores (F=.</w:t>
      </w:r>
      <w:r w:rsidR="00C01C52">
        <w:rPr>
          <w:sz w:val="24"/>
        </w:rPr>
        <w:t>90</w:t>
      </w:r>
      <w:r>
        <w:rPr>
          <w:sz w:val="24"/>
        </w:rPr>
        <w:t xml:space="preserve">, </w:t>
      </w:r>
      <w:proofErr w:type="spellStart"/>
      <w:proofErr w:type="gramStart"/>
      <w:r>
        <w:rPr>
          <w:sz w:val="24"/>
        </w:rPr>
        <w:t>df</w:t>
      </w:r>
      <w:proofErr w:type="spellEnd"/>
      <w:r>
        <w:rPr>
          <w:sz w:val="24"/>
        </w:rPr>
        <w:t>=</w:t>
      </w:r>
      <w:proofErr w:type="gramEnd"/>
      <w:r>
        <w:rPr>
          <w:sz w:val="24"/>
        </w:rPr>
        <w:t>4, p=.4</w:t>
      </w:r>
      <w:r w:rsidR="00C01C52">
        <w:rPr>
          <w:sz w:val="24"/>
        </w:rPr>
        <w:t>7</w:t>
      </w:r>
      <w:r>
        <w:rPr>
          <w:sz w:val="24"/>
        </w:rPr>
        <w:t xml:space="preserve">). </w:t>
      </w:r>
    </w:p>
    <w:tbl>
      <w:tblPr>
        <w:tblStyle w:val="TableGrid"/>
        <w:tblW w:w="0" w:type="auto"/>
        <w:tblLook w:val="04A0" w:firstRow="1" w:lastRow="0" w:firstColumn="1" w:lastColumn="0" w:noHBand="0" w:noVBand="1"/>
      </w:tblPr>
      <w:tblGrid>
        <w:gridCol w:w="2875"/>
        <w:gridCol w:w="2160"/>
      </w:tblGrid>
      <w:tr w:rsidR="00A96D7A" w:rsidTr="00A96D7A">
        <w:tc>
          <w:tcPr>
            <w:tcW w:w="2875" w:type="dxa"/>
            <w:shd w:val="clear" w:color="auto" w:fill="D9D9D9" w:themeFill="background1" w:themeFillShade="D9"/>
          </w:tcPr>
          <w:p w:rsidR="00A96D7A" w:rsidRDefault="00A96D7A" w:rsidP="00A96D7A">
            <w:pPr>
              <w:rPr>
                <w:sz w:val="24"/>
              </w:rPr>
            </w:pPr>
          </w:p>
        </w:tc>
        <w:tc>
          <w:tcPr>
            <w:tcW w:w="2160" w:type="dxa"/>
            <w:shd w:val="clear" w:color="auto" w:fill="D9D9D9" w:themeFill="background1" w:themeFillShade="D9"/>
          </w:tcPr>
          <w:p w:rsidR="00A96D7A" w:rsidRDefault="00A96D7A" w:rsidP="00A96D7A">
            <w:pPr>
              <w:rPr>
                <w:sz w:val="24"/>
              </w:rPr>
            </w:pPr>
            <w:r>
              <w:rPr>
                <w:sz w:val="24"/>
              </w:rPr>
              <w:t>FSSRI Total Score</w:t>
            </w:r>
          </w:p>
          <w:p w:rsidR="00A96D7A" w:rsidRDefault="00A96D7A" w:rsidP="00A96D7A">
            <w:pPr>
              <w:rPr>
                <w:sz w:val="24"/>
              </w:rPr>
            </w:pPr>
            <w:r>
              <w:rPr>
                <w:sz w:val="24"/>
              </w:rPr>
              <w:t>Mean (</w:t>
            </w:r>
            <w:proofErr w:type="spellStart"/>
            <w:r>
              <w:rPr>
                <w:sz w:val="24"/>
              </w:rPr>
              <w:t>sd</w:t>
            </w:r>
            <w:proofErr w:type="spellEnd"/>
            <w:r>
              <w:rPr>
                <w:sz w:val="24"/>
              </w:rPr>
              <w:t xml:space="preserve">) </w:t>
            </w:r>
          </w:p>
        </w:tc>
      </w:tr>
      <w:tr w:rsidR="00EA2EE1" w:rsidTr="00A96D7A">
        <w:tc>
          <w:tcPr>
            <w:tcW w:w="2875" w:type="dxa"/>
          </w:tcPr>
          <w:p w:rsidR="00EA2EE1" w:rsidRDefault="00EA2EE1" w:rsidP="00D50FCD">
            <w:pPr>
              <w:rPr>
                <w:sz w:val="24"/>
              </w:rPr>
            </w:pPr>
            <w:r>
              <w:rPr>
                <w:sz w:val="24"/>
              </w:rPr>
              <w:t xml:space="preserve">Part-Time Lecturer (n=3) </w:t>
            </w:r>
          </w:p>
        </w:tc>
        <w:tc>
          <w:tcPr>
            <w:tcW w:w="2160" w:type="dxa"/>
          </w:tcPr>
          <w:p w:rsidR="00EA2EE1" w:rsidRDefault="00C01C52" w:rsidP="00A96D7A">
            <w:pPr>
              <w:jc w:val="center"/>
              <w:rPr>
                <w:sz w:val="24"/>
              </w:rPr>
            </w:pPr>
            <w:r>
              <w:rPr>
                <w:sz w:val="24"/>
              </w:rPr>
              <w:t>4.4 (.1</w:t>
            </w:r>
            <w:r w:rsidR="00EA2EE1">
              <w:rPr>
                <w:sz w:val="24"/>
              </w:rPr>
              <w:t>)</w:t>
            </w:r>
          </w:p>
        </w:tc>
      </w:tr>
      <w:tr w:rsidR="00EA2EE1" w:rsidTr="00A96D7A">
        <w:tc>
          <w:tcPr>
            <w:tcW w:w="2875" w:type="dxa"/>
          </w:tcPr>
          <w:p w:rsidR="00EA2EE1" w:rsidRDefault="00EA2EE1" w:rsidP="00D50FCD">
            <w:pPr>
              <w:rPr>
                <w:sz w:val="24"/>
              </w:rPr>
            </w:pPr>
            <w:r>
              <w:rPr>
                <w:sz w:val="24"/>
              </w:rPr>
              <w:t>Full-Time Lecturer (n=3)</w:t>
            </w:r>
          </w:p>
        </w:tc>
        <w:tc>
          <w:tcPr>
            <w:tcW w:w="2160" w:type="dxa"/>
          </w:tcPr>
          <w:p w:rsidR="00EA2EE1" w:rsidRDefault="00C01C52" w:rsidP="00A96D7A">
            <w:pPr>
              <w:jc w:val="center"/>
              <w:rPr>
                <w:sz w:val="24"/>
              </w:rPr>
            </w:pPr>
            <w:r>
              <w:rPr>
                <w:sz w:val="24"/>
              </w:rPr>
              <w:t>4.1</w:t>
            </w:r>
            <w:r w:rsidR="00EA2EE1">
              <w:rPr>
                <w:sz w:val="24"/>
              </w:rPr>
              <w:t xml:space="preserve"> (.2)</w:t>
            </w:r>
          </w:p>
        </w:tc>
      </w:tr>
      <w:tr w:rsidR="00EA2EE1" w:rsidTr="00A96D7A">
        <w:tc>
          <w:tcPr>
            <w:tcW w:w="2875" w:type="dxa"/>
          </w:tcPr>
          <w:p w:rsidR="00EA2EE1" w:rsidRDefault="00EA2EE1" w:rsidP="00D50FCD">
            <w:pPr>
              <w:rPr>
                <w:sz w:val="24"/>
              </w:rPr>
            </w:pPr>
            <w:r>
              <w:rPr>
                <w:sz w:val="24"/>
              </w:rPr>
              <w:t xml:space="preserve">Assistant Prof (n=47) </w:t>
            </w:r>
          </w:p>
        </w:tc>
        <w:tc>
          <w:tcPr>
            <w:tcW w:w="2160" w:type="dxa"/>
          </w:tcPr>
          <w:p w:rsidR="00EA2EE1" w:rsidRDefault="00C01C52" w:rsidP="00A96D7A">
            <w:pPr>
              <w:jc w:val="center"/>
              <w:rPr>
                <w:sz w:val="24"/>
              </w:rPr>
            </w:pPr>
            <w:r>
              <w:rPr>
                <w:sz w:val="24"/>
              </w:rPr>
              <w:t>4.3</w:t>
            </w:r>
            <w:r w:rsidR="00EA2EE1">
              <w:rPr>
                <w:sz w:val="24"/>
              </w:rPr>
              <w:t xml:space="preserve"> (.4)</w:t>
            </w:r>
          </w:p>
        </w:tc>
      </w:tr>
      <w:tr w:rsidR="00EA2EE1" w:rsidTr="00A96D7A">
        <w:tc>
          <w:tcPr>
            <w:tcW w:w="2875" w:type="dxa"/>
          </w:tcPr>
          <w:p w:rsidR="00EA2EE1" w:rsidRDefault="00EA2EE1" w:rsidP="00D50FCD">
            <w:pPr>
              <w:rPr>
                <w:sz w:val="24"/>
              </w:rPr>
            </w:pPr>
            <w:r>
              <w:rPr>
                <w:sz w:val="24"/>
              </w:rPr>
              <w:t xml:space="preserve">Associate Prof (n=10) </w:t>
            </w:r>
          </w:p>
        </w:tc>
        <w:tc>
          <w:tcPr>
            <w:tcW w:w="2160" w:type="dxa"/>
          </w:tcPr>
          <w:p w:rsidR="00EA2EE1" w:rsidRDefault="00C01C52" w:rsidP="00A96D7A">
            <w:pPr>
              <w:jc w:val="center"/>
              <w:rPr>
                <w:sz w:val="24"/>
              </w:rPr>
            </w:pPr>
            <w:r>
              <w:rPr>
                <w:sz w:val="24"/>
              </w:rPr>
              <w:t>4.5</w:t>
            </w:r>
            <w:r w:rsidR="00EA2EE1">
              <w:rPr>
                <w:sz w:val="24"/>
              </w:rPr>
              <w:t xml:space="preserve"> (.</w:t>
            </w:r>
            <w:r>
              <w:rPr>
                <w:sz w:val="24"/>
              </w:rPr>
              <w:t>3</w:t>
            </w:r>
            <w:r w:rsidR="00EA2EE1">
              <w:rPr>
                <w:sz w:val="24"/>
              </w:rPr>
              <w:t>)</w:t>
            </w:r>
          </w:p>
        </w:tc>
      </w:tr>
      <w:tr w:rsidR="00EA2EE1" w:rsidTr="00A96D7A">
        <w:tc>
          <w:tcPr>
            <w:tcW w:w="2875" w:type="dxa"/>
          </w:tcPr>
          <w:p w:rsidR="00EA2EE1" w:rsidRDefault="00EA2EE1" w:rsidP="00D50FCD">
            <w:pPr>
              <w:rPr>
                <w:sz w:val="24"/>
              </w:rPr>
            </w:pPr>
            <w:r>
              <w:rPr>
                <w:sz w:val="24"/>
              </w:rPr>
              <w:t xml:space="preserve">Professor (n=16) </w:t>
            </w:r>
          </w:p>
        </w:tc>
        <w:tc>
          <w:tcPr>
            <w:tcW w:w="2160" w:type="dxa"/>
          </w:tcPr>
          <w:p w:rsidR="00EA2EE1" w:rsidRDefault="00C01C52" w:rsidP="00A96D7A">
            <w:pPr>
              <w:jc w:val="center"/>
              <w:rPr>
                <w:sz w:val="24"/>
              </w:rPr>
            </w:pPr>
            <w:r>
              <w:rPr>
                <w:sz w:val="24"/>
              </w:rPr>
              <w:t>4.3</w:t>
            </w:r>
            <w:r w:rsidR="00EA2EE1">
              <w:rPr>
                <w:sz w:val="24"/>
              </w:rPr>
              <w:t xml:space="preserve"> (.4)</w:t>
            </w:r>
          </w:p>
        </w:tc>
      </w:tr>
    </w:tbl>
    <w:p w:rsidR="00D406E4" w:rsidRPr="00D406E4" w:rsidRDefault="00D406E4">
      <w:pPr>
        <w:rPr>
          <w:sz w:val="24"/>
        </w:rPr>
      </w:pPr>
    </w:p>
    <w:p w:rsidR="00EA2EE1" w:rsidRDefault="00EA2EE1" w:rsidP="00EA2EE1">
      <w:pPr>
        <w:rPr>
          <w:sz w:val="24"/>
        </w:rPr>
      </w:pPr>
      <w:r>
        <w:rPr>
          <w:sz w:val="24"/>
        </w:rPr>
        <w:t xml:space="preserve">In our sample, </w:t>
      </w:r>
      <w:r w:rsidR="00C01C52">
        <w:rPr>
          <w:sz w:val="24"/>
        </w:rPr>
        <w:t xml:space="preserve">there was no difference between student ratings in classes taught by women as compared to men (F=1.70, </w:t>
      </w:r>
      <w:proofErr w:type="spellStart"/>
      <w:proofErr w:type="gramStart"/>
      <w:r w:rsidR="00C01C52">
        <w:rPr>
          <w:sz w:val="24"/>
        </w:rPr>
        <w:t>df</w:t>
      </w:r>
      <w:proofErr w:type="spellEnd"/>
      <w:r w:rsidR="00C01C52">
        <w:rPr>
          <w:sz w:val="24"/>
        </w:rPr>
        <w:t>=</w:t>
      </w:r>
      <w:proofErr w:type="gramEnd"/>
      <w:r w:rsidR="00C01C52">
        <w:rPr>
          <w:sz w:val="24"/>
        </w:rPr>
        <w:t xml:space="preserve">1, p=.20). </w:t>
      </w:r>
    </w:p>
    <w:tbl>
      <w:tblPr>
        <w:tblStyle w:val="TableGrid"/>
        <w:tblW w:w="0" w:type="auto"/>
        <w:tblLook w:val="04A0" w:firstRow="1" w:lastRow="0" w:firstColumn="1" w:lastColumn="0" w:noHBand="0" w:noVBand="1"/>
      </w:tblPr>
      <w:tblGrid>
        <w:gridCol w:w="2785"/>
        <w:gridCol w:w="2250"/>
      </w:tblGrid>
      <w:tr w:rsidR="00A96D7A" w:rsidTr="00A96D7A">
        <w:tc>
          <w:tcPr>
            <w:tcW w:w="2785" w:type="dxa"/>
            <w:shd w:val="clear" w:color="auto" w:fill="D9D9D9" w:themeFill="background1" w:themeFillShade="D9"/>
          </w:tcPr>
          <w:p w:rsidR="00A96D7A" w:rsidRDefault="00A96D7A" w:rsidP="00A96D7A">
            <w:pPr>
              <w:rPr>
                <w:sz w:val="24"/>
              </w:rPr>
            </w:pPr>
          </w:p>
        </w:tc>
        <w:tc>
          <w:tcPr>
            <w:tcW w:w="2250" w:type="dxa"/>
            <w:shd w:val="clear" w:color="auto" w:fill="D9D9D9" w:themeFill="background1" w:themeFillShade="D9"/>
          </w:tcPr>
          <w:p w:rsidR="00A96D7A" w:rsidRDefault="00A96D7A" w:rsidP="00A96D7A">
            <w:pPr>
              <w:rPr>
                <w:sz w:val="24"/>
              </w:rPr>
            </w:pPr>
            <w:r>
              <w:rPr>
                <w:sz w:val="24"/>
              </w:rPr>
              <w:t>FSSRI Total Score</w:t>
            </w:r>
          </w:p>
          <w:p w:rsidR="00A96D7A" w:rsidRDefault="00A96D7A" w:rsidP="00A96D7A">
            <w:pPr>
              <w:rPr>
                <w:sz w:val="24"/>
              </w:rPr>
            </w:pPr>
            <w:r>
              <w:rPr>
                <w:sz w:val="24"/>
              </w:rPr>
              <w:t>Mean (</w:t>
            </w:r>
            <w:proofErr w:type="spellStart"/>
            <w:r>
              <w:rPr>
                <w:sz w:val="24"/>
              </w:rPr>
              <w:t>sd</w:t>
            </w:r>
            <w:proofErr w:type="spellEnd"/>
            <w:r>
              <w:rPr>
                <w:sz w:val="24"/>
              </w:rPr>
              <w:t xml:space="preserve">) </w:t>
            </w:r>
          </w:p>
        </w:tc>
      </w:tr>
      <w:tr w:rsidR="00D406E4" w:rsidTr="00A96D7A">
        <w:tc>
          <w:tcPr>
            <w:tcW w:w="2785" w:type="dxa"/>
          </w:tcPr>
          <w:p w:rsidR="00D406E4" w:rsidRDefault="00D406E4" w:rsidP="00D50FCD">
            <w:pPr>
              <w:rPr>
                <w:sz w:val="24"/>
              </w:rPr>
            </w:pPr>
            <w:r>
              <w:rPr>
                <w:sz w:val="24"/>
              </w:rPr>
              <w:t xml:space="preserve">Female Instructor (n=35) </w:t>
            </w:r>
          </w:p>
        </w:tc>
        <w:tc>
          <w:tcPr>
            <w:tcW w:w="2250" w:type="dxa"/>
          </w:tcPr>
          <w:p w:rsidR="00D406E4" w:rsidRDefault="00C01C52" w:rsidP="00C01C52">
            <w:pPr>
              <w:jc w:val="center"/>
              <w:rPr>
                <w:sz w:val="24"/>
              </w:rPr>
            </w:pPr>
            <w:r>
              <w:rPr>
                <w:sz w:val="24"/>
              </w:rPr>
              <w:t>4.4</w:t>
            </w:r>
            <w:r w:rsidR="00D406E4">
              <w:rPr>
                <w:sz w:val="24"/>
              </w:rPr>
              <w:t xml:space="preserve"> (.</w:t>
            </w:r>
            <w:r>
              <w:rPr>
                <w:sz w:val="24"/>
              </w:rPr>
              <w:t>4</w:t>
            </w:r>
            <w:r w:rsidR="00D406E4">
              <w:rPr>
                <w:sz w:val="24"/>
              </w:rPr>
              <w:t>)</w:t>
            </w:r>
          </w:p>
        </w:tc>
      </w:tr>
      <w:tr w:rsidR="00D406E4" w:rsidTr="00A96D7A">
        <w:tc>
          <w:tcPr>
            <w:tcW w:w="2785" w:type="dxa"/>
          </w:tcPr>
          <w:p w:rsidR="00D406E4" w:rsidRDefault="00D406E4" w:rsidP="00D50FCD">
            <w:pPr>
              <w:rPr>
                <w:sz w:val="24"/>
              </w:rPr>
            </w:pPr>
            <w:r>
              <w:rPr>
                <w:sz w:val="24"/>
              </w:rPr>
              <w:t xml:space="preserve">Male Instructor (n=44) </w:t>
            </w:r>
          </w:p>
        </w:tc>
        <w:tc>
          <w:tcPr>
            <w:tcW w:w="2250" w:type="dxa"/>
          </w:tcPr>
          <w:p w:rsidR="00D406E4" w:rsidRDefault="00C01C52" w:rsidP="00C01C52">
            <w:pPr>
              <w:jc w:val="center"/>
              <w:rPr>
                <w:sz w:val="24"/>
              </w:rPr>
            </w:pPr>
            <w:r>
              <w:rPr>
                <w:sz w:val="24"/>
              </w:rPr>
              <w:t xml:space="preserve">4.3 </w:t>
            </w:r>
            <w:r w:rsidR="00D406E4">
              <w:rPr>
                <w:sz w:val="24"/>
              </w:rPr>
              <w:t>(.5)</w:t>
            </w:r>
          </w:p>
        </w:tc>
      </w:tr>
    </w:tbl>
    <w:p w:rsidR="00D406E4" w:rsidRDefault="00D406E4">
      <w:pPr>
        <w:rPr>
          <w:sz w:val="24"/>
        </w:rPr>
      </w:pPr>
    </w:p>
    <w:p w:rsidR="00D406E4" w:rsidRDefault="002E7ED2" w:rsidP="00515297">
      <w:pPr>
        <w:rPr>
          <w:sz w:val="24"/>
        </w:rPr>
      </w:pPr>
      <w:r>
        <w:rPr>
          <w:sz w:val="24"/>
        </w:rPr>
        <w:t xml:space="preserve">Next, </w:t>
      </w:r>
      <w:r w:rsidR="00FF30AC">
        <w:rPr>
          <w:sz w:val="24"/>
        </w:rPr>
        <w:t>we</w:t>
      </w:r>
      <w:r>
        <w:rPr>
          <w:sz w:val="24"/>
        </w:rPr>
        <w:t xml:space="preserve"> look</w:t>
      </w:r>
      <w:r w:rsidR="00FF30AC">
        <w:rPr>
          <w:sz w:val="24"/>
        </w:rPr>
        <w:t>ed</w:t>
      </w:r>
      <w:r>
        <w:rPr>
          <w:sz w:val="24"/>
        </w:rPr>
        <w:t xml:space="preserve"> at the self-reported race/ethnicity of the instructor. </w:t>
      </w:r>
      <w:r w:rsidR="008E4D77">
        <w:rPr>
          <w:sz w:val="24"/>
        </w:rPr>
        <w:t xml:space="preserve">Most individual racial/ethnic identities were endorsed by so few faculty that it is impossible to analyze them separately. </w:t>
      </w:r>
      <w:r w:rsidR="00515297">
        <w:rPr>
          <w:sz w:val="24"/>
        </w:rPr>
        <w:t xml:space="preserve">There is no significant difference between those classes taught by White instructors as compared to those taught by non-White instructors (F=1.30, </w:t>
      </w:r>
      <w:proofErr w:type="spellStart"/>
      <w:proofErr w:type="gramStart"/>
      <w:r w:rsidR="00515297">
        <w:rPr>
          <w:sz w:val="24"/>
        </w:rPr>
        <w:t>df</w:t>
      </w:r>
      <w:proofErr w:type="spellEnd"/>
      <w:r w:rsidR="00515297">
        <w:rPr>
          <w:sz w:val="24"/>
        </w:rPr>
        <w:t>=</w:t>
      </w:r>
      <w:proofErr w:type="gramEnd"/>
      <w:r w:rsidR="00515297">
        <w:rPr>
          <w:sz w:val="24"/>
        </w:rPr>
        <w:t xml:space="preserve">1, p=.26). </w:t>
      </w:r>
    </w:p>
    <w:tbl>
      <w:tblPr>
        <w:tblStyle w:val="TableGrid"/>
        <w:tblW w:w="0" w:type="auto"/>
        <w:tblLook w:val="04A0" w:firstRow="1" w:lastRow="0" w:firstColumn="1" w:lastColumn="0" w:noHBand="0" w:noVBand="1"/>
      </w:tblPr>
      <w:tblGrid>
        <w:gridCol w:w="3505"/>
        <w:gridCol w:w="2250"/>
      </w:tblGrid>
      <w:tr w:rsidR="008E4D77" w:rsidTr="008E4D77">
        <w:tc>
          <w:tcPr>
            <w:tcW w:w="3505" w:type="dxa"/>
            <w:shd w:val="clear" w:color="auto" w:fill="D9D9D9" w:themeFill="background1" w:themeFillShade="D9"/>
          </w:tcPr>
          <w:p w:rsidR="008E4D77" w:rsidRDefault="008E4D77" w:rsidP="00C03982">
            <w:pPr>
              <w:rPr>
                <w:sz w:val="24"/>
              </w:rPr>
            </w:pPr>
          </w:p>
        </w:tc>
        <w:tc>
          <w:tcPr>
            <w:tcW w:w="2250" w:type="dxa"/>
            <w:shd w:val="clear" w:color="auto" w:fill="D9D9D9" w:themeFill="background1" w:themeFillShade="D9"/>
          </w:tcPr>
          <w:p w:rsidR="008E4D77" w:rsidRDefault="008E4D77" w:rsidP="00C03982">
            <w:pPr>
              <w:rPr>
                <w:sz w:val="24"/>
              </w:rPr>
            </w:pPr>
            <w:r>
              <w:rPr>
                <w:sz w:val="24"/>
              </w:rPr>
              <w:t>FSSRI Total Score</w:t>
            </w:r>
          </w:p>
          <w:p w:rsidR="008E4D77" w:rsidRDefault="008E4D77" w:rsidP="00C03982">
            <w:pPr>
              <w:rPr>
                <w:sz w:val="24"/>
              </w:rPr>
            </w:pPr>
            <w:r>
              <w:rPr>
                <w:sz w:val="24"/>
              </w:rPr>
              <w:t>Mean (</w:t>
            </w:r>
            <w:proofErr w:type="spellStart"/>
            <w:r>
              <w:rPr>
                <w:sz w:val="24"/>
              </w:rPr>
              <w:t>sd</w:t>
            </w:r>
            <w:proofErr w:type="spellEnd"/>
            <w:r>
              <w:rPr>
                <w:sz w:val="24"/>
              </w:rPr>
              <w:t xml:space="preserve">) </w:t>
            </w:r>
          </w:p>
        </w:tc>
      </w:tr>
      <w:tr w:rsidR="008E4D77" w:rsidTr="008E4D77">
        <w:tc>
          <w:tcPr>
            <w:tcW w:w="3505" w:type="dxa"/>
          </w:tcPr>
          <w:p w:rsidR="008E4D77" w:rsidRDefault="008E4D77" w:rsidP="00C03982">
            <w:pPr>
              <w:rPr>
                <w:sz w:val="24"/>
              </w:rPr>
            </w:pPr>
            <w:r>
              <w:rPr>
                <w:sz w:val="24"/>
              </w:rPr>
              <w:t xml:space="preserve">White Instructor (n=35) </w:t>
            </w:r>
          </w:p>
        </w:tc>
        <w:tc>
          <w:tcPr>
            <w:tcW w:w="2250" w:type="dxa"/>
          </w:tcPr>
          <w:p w:rsidR="008E4D77" w:rsidRDefault="008E4D77" w:rsidP="008E4D77">
            <w:pPr>
              <w:jc w:val="center"/>
              <w:rPr>
                <w:sz w:val="24"/>
              </w:rPr>
            </w:pPr>
            <w:r>
              <w:rPr>
                <w:sz w:val="24"/>
              </w:rPr>
              <w:t>4.3 (.4)</w:t>
            </w:r>
          </w:p>
        </w:tc>
      </w:tr>
      <w:tr w:rsidR="008E4D77" w:rsidTr="008E4D77">
        <w:tc>
          <w:tcPr>
            <w:tcW w:w="3505" w:type="dxa"/>
          </w:tcPr>
          <w:p w:rsidR="008E4D77" w:rsidRDefault="008E4D77" w:rsidP="008E4D77">
            <w:pPr>
              <w:rPr>
                <w:sz w:val="24"/>
              </w:rPr>
            </w:pPr>
            <w:r>
              <w:rPr>
                <w:sz w:val="24"/>
              </w:rPr>
              <w:t xml:space="preserve">Non-White Instructor (n=19) </w:t>
            </w:r>
          </w:p>
        </w:tc>
        <w:tc>
          <w:tcPr>
            <w:tcW w:w="2250" w:type="dxa"/>
          </w:tcPr>
          <w:p w:rsidR="008E4D77" w:rsidRDefault="008E4D77" w:rsidP="008E4D77">
            <w:pPr>
              <w:jc w:val="center"/>
              <w:rPr>
                <w:sz w:val="24"/>
              </w:rPr>
            </w:pPr>
            <w:r>
              <w:rPr>
                <w:sz w:val="24"/>
              </w:rPr>
              <w:t>4.2 (.5)</w:t>
            </w:r>
          </w:p>
        </w:tc>
      </w:tr>
    </w:tbl>
    <w:p w:rsidR="008E4D77" w:rsidRDefault="008E4D77" w:rsidP="00515297">
      <w:pPr>
        <w:rPr>
          <w:sz w:val="24"/>
        </w:rPr>
      </w:pPr>
    </w:p>
    <w:p w:rsidR="00E36C35" w:rsidRDefault="00E36C35">
      <w:pPr>
        <w:rPr>
          <w:sz w:val="24"/>
        </w:rPr>
      </w:pPr>
      <w:r>
        <w:rPr>
          <w:sz w:val="24"/>
        </w:rPr>
        <w:t>Another non-instructional factor on which there may be bias in student ratings is the subject matter of the class. Prior research has found that quantitative subjects are rated more poorly than non-</w:t>
      </w:r>
      <w:r w:rsidR="00B14F1C">
        <w:rPr>
          <w:sz w:val="24"/>
        </w:rPr>
        <w:t>quantitative</w:t>
      </w:r>
      <w:r w:rsidR="00302ED0">
        <w:rPr>
          <w:sz w:val="24"/>
        </w:rPr>
        <w:t xml:space="preserve"> subjects (</w:t>
      </w:r>
      <w:proofErr w:type="spellStart"/>
      <w:r w:rsidR="00302ED0">
        <w:rPr>
          <w:sz w:val="24"/>
        </w:rPr>
        <w:t>Uttl</w:t>
      </w:r>
      <w:proofErr w:type="spellEnd"/>
      <w:r w:rsidR="00302ED0">
        <w:rPr>
          <w:sz w:val="24"/>
        </w:rPr>
        <w:t xml:space="preserve"> &amp; Smibert, 2017), but th</w:t>
      </w:r>
      <w:r w:rsidR="00515297">
        <w:rPr>
          <w:sz w:val="24"/>
        </w:rPr>
        <w:t>is is usually studied by comparing classes in the English department to classes in th</w:t>
      </w:r>
      <w:r w:rsidR="00302ED0">
        <w:rPr>
          <w:sz w:val="24"/>
        </w:rPr>
        <w:t xml:space="preserve">e Math department. In reality, “quantitative” is more complicated than just these two departments. We examined three different operational definitions of “quantitative”: </w:t>
      </w:r>
      <w:r w:rsidR="00FF30AC">
        <w:rPr>
          <w:sz w:val="24"/>
        </w:rPr>
        <w:t xml:space="preserve">by college, by instructor-report of </w:t>
      </w:r>
      <w:r w:rsidR="00515297">
        <w:rPr>
          <w:sz w:val="24"/>
        </w:rPr>
        <w:t>quantitative</w:t>
      </w:r>
      <w:r w:rsidR="00FF30AC">
        <w:rPr>
          <w:sz w:val="24"/>
        </w:rPr>
        <w:t xml:space="preserve"> content, and by review of the course descriptions and syllabi. </w:t>
      </w:r>
      <w:r>
        <w:rPr>
          <w:sz w:val="24"/>
        </w:rPr>
        <w:t xml:space="preserve"> </w:t>
      </w:r>
    </w:p>
    <w:p w:rsidR="007B4535" w:rsidRDefault="007B4535">
      <w:pPr>
        <w:rPr>
          <w:sz w:val="24"/>
        </w:rPr>
      </w:pPr>
      <w:r>
        <w:rPr>
          <w:sz w:val="24"/>
        </w:rPr>
        <w:br w:type="page"/>
      </w:r>
    </w:p>
    <w:p w:rsidR="00C95C75" w:rsidRDefault="00C95C75">
      <w:pPr>
        <w:rPr>
          <w:sz w:val="24"/>
        </w:rPr>
      </w:pPr>
      <w:r w:rsidRPr="007B4535">
        <w:rPr>
          <w:sz w:val="24"/>
          <w:highlight w:val="yellow"/>
        </w:rPr>
        <w:t xml:space="preserve">There are </w:t>
      </w:r>
      <w:r w:rsidR="003A4DED" w:rsidRPr="007B4535">
        <w:rPr>
          <w:sz w:val="24"/>
          <w:highlight w:val="yellow"/>
        </w:rPr>
        <w:t xml:space="preserve">statistically significant </w:t>
      </w:r>
      <w:r w:rsidRPr="007B4535">
        <w:rPr>
          <w:sz w:val="24"/>
          <w:highlight w:val="yellow"/>
        </w:rPr>
        <w:t>differences in average scores across colleges</w:t>
      </w:r>
      <w:r w:rsidR="00C949CB" w:rsidRPr="007B4535">
        <w:rPr>
          <w:sz w:val="24"/>
          <w:highlight w:val="yellow"/>
        </w:rPr>
        <w:t xml:space="preserve"> (F=3.08</w:t>
      </w:r>
      <w:proofErr w:type="gramStart"/>
      <w:r w:rsidR="00C949CB" w:rsidRPr="007B4535">
        <w:rPr>
          <w:sz w:val="24"/>
          <w:highlight w:val="yellow"/>
        </w:rPr>
        <w:t>,df</w:t>
      </w:r>
      <w:proofErr w:type="gramEnd"/>
      <w:r w:rsidR="00C949CB" w:rsidRPr="007B4535">
        <w:rPr>
          <w:sz w:val="24"/>
          <w:highlight w:val="yellow"/>
        </w:rPr>
        <w:t>=7, p=.007)</w:t>
      </w:r>
      <w:r w:rsidRPr="007B4535">
        <w:rPr>
          <w:sz w:val="24"/>
          <w:highlight w:val="yellow"/>
        </w:rPr>
        <w:t>.</w:t>
      </w:r>
      <w:r>
        <w:rPr>
          <w:sz w:val="24"/>
        </w:rPr>
        <w:t xml:space="preserve"> </w:t>
      </w:r>
      <w:r w:rsidR="007B4535">
        <w:rPr>
          <w:sz w:val="24"/>
        </w:rPr>
        <w:t xml:space="preserve">From the highest to the lowest scores, the different is .7 point (on a 5-point scale). </w:t>
      </w:r>
    </w:p>
    <w:tbl>
      <w:tblPr>
        <w:tblStyle w:val="TableGrid"/>
        <w:tblW w:w="0" w:type="auto"/>
        <w:tblLook w:val="04A0" w:firstRow="1" w:lastRow="0" w:firstColumn="1" w:lastColumn="0" w:noHBand="0" w:noVBand="1"/>
      </w:tblPr>
      <w:tblGrid>
        <w:gridCol w:w="1705"/>
        <w:gridCol w:w="2070"/>
      </w:tblGrid>
      <w:tr w:rsidR="00A96D7A" w:rsidTr="00A96D7A">
        <w:tc>
          <w:tcPr>
            <w:tcW w:w="1705" w:type="dxa"/>
            <w:shd w:val="clear" w:color="auto" w:fill="D9D9D9" w:themeFill="background1" w:themeFillShade="D9"/>
          </w:tcPr>
          <w:p w:rsidR="00A96D7A" w:rsidRDefault="00A96D7A" w:rsidP="00A96D7A">
            <w:pPr>
              <w:rPr>
                <w:sz w:val="24"/>
              </w:rPr>
            </w:pPr>
            <w:r>
              <w:rPr>
                <w:sz w:val="24"/>
              </w:rPr>
              <w:t>College</w:t>
            </w:r>
          </w:p>
        </w:tc>
        <w:tc>
          <w:tcPr>
            <w:tcW w:w="2070" w:type="dxa"/>
            <w:shd w:val="clear" w:color="auto" w:fill="D9D9D9" w:themeFill="background1" w:themeFillShade="D9"/>
          </w:tcPr>
          <w:p w:rsidR="00A96D7A" w:rsidRDefault="00A96D7A" w:rsidP="00A96D7A">
            <w:pPr>
              <w:rPr>
                <w:sz w:val="24"/>
              </w:rPr>
            </w:pPr>
            <w:r>
              <w:rPr>
                <w:sz w:val="24"/>
              </w:rPr>
              <w:t>FSSRI Total Score</w:t>
            </w:r>
          </w:p>
          <w:p w:rsidR="00A96D7A" w:rsidRDefault="00A96D7A" w:rsidP="00A96D7A">
            <w:pPr>
              <w:rPr>
                <w:sz w:val="24"/>
              </w:rPr>
            </w:pPr>
            <w:r>
              <w:rPr>
                <w:sz w:val="24"/>
              </w:rPr>
              <w:t>Mean (</w:t>
            </w:r>
            <w:proofErr w:type="spellStart"/>
            <w:r>
              <w:rPr>
                <w:sz w:val="24"/>
              </w:rPr>
              <w:t>sd</w:t>
            </w:r>
            <w:proofErr w:type="spellEnd"/>
            <w:r>
              <w:rPr>
                <w:sz w:val="24"/>
              </w:rPr>
              <w:t xml:space="preserve">) </w:t>
            </w:r>
          </w:p>
        </w:tc>
      </w:tr>
      <w:tr w:rsidR="00C95C75" w:rsidTr="00A96D7A">
        <w:tc>
          <w:tcPr>
            <w:tcW w:w="1705" w:type="dxa"/>
          </w:tcPr>
          <w:p w:rsidR="00C95C75" w:rsidRDefault="00C95C75">
            <w:pPr>
              <w:rPr>
                <w:sz w:val="24"/>
              </w:rPr>
            </w:pPr>
            <w:r>
              <w:rPr>
                <w:sz w:val="24"/>
              </w:rPr>
              <w:t>Lyles</w:t>
            </w:r>
            <w:r w:rsidR="00387FE1">
              <w:rPr>
                <w:sz w:val="24"/>
              </w:rPr>
              <w:t xml:space="preserve"> (n=7) </w:t>
            </w:r>
          </w:p>
        </w:tc>
        <w:tc>
          <w:tcPr>
            <w:tcW w:w="2070" w:type="dxa"/>
          </w:tcPr>
          <w:p w:rsidR="00C95C75" w:rsidRDefault="00302ED0" w:rsidP="00C95C75">
            <w:pPr>
              <w:jc w:val="center"/>
              <w:rPr>
                <w:sz w:val="24"/>
              </w:rPr>
            </w:pPr>
            <w:r>
              <w:rPr>
                <w:sz w:val="24"/>
              </w:rPr>
              <w:t>3.9 (.4</w:t>
            </w:r>
            <w:r w:rsidR="00C95C75">
              <w:rPr>
                <w:sz w:val="24"/>
              </w:rPr>
              <w:t>)</w:t>
            </w:r>
          </w:p>
        </w:tc>
      </w:tr>
      <w:tr w:rsidR="00C95C75" w:rsidTr="00A96D7A">
        <w:tc>
          <w:tcPr>
            <w:tcW w:w="1705" w:type="dxa"/>
          </w:tcPr>
          <w:p w:rsidR="00C95C75" w:rsidRDefault="00C95C75">
            <w:pPr>
              <w:rPr>
                <w:sz w:val="24"/>
              </w:rPr>
            </w:pPr>
            <w:r>
              <w:rPr>
                <w:sz w:val="24"/>
              </w:rPr>
              <w:t>Craig</w:t>
            </w:r>
            <w:r w:rsidR="00387FE1">
              <w:rPr>
                <w:sz w:val="24"/>
              </w:rPr>
              <w:t xml:space="preserve"> (n=9) </w:t>
            </w:r>
          </w:p>
        </w:tc>
        <w:tc>
          <w:tcPr>
            <w:tcW w:w="2070" w:type="dxa"/>
          </w:tcPr>
          <w:p w:rsidR="00C95C75" w:rsidRDefault="00302ED0" w:rsidP="00302ED0">
            <w:pPr>
              <w:jc w:val="center"/>
              <w:rPr>
                <w:sz w:val="24"/>
              </w:rPr>
            </w:pPr>
            <w:r>
              <w:rPr>
                <w:sz w:val="24"/>
              </w:rPr>
              <w:t>4.2</w:t>
            </w:r>
            <w:r w:rsidR="00C95C75">
              <w:rPr>
                <w:sz w:val="24"/>
              </w:rPr>
              <w:t xml:space="preserve"> (.</w:t>
            </w:r>
            <w:r>
              <w:rPr>
                <w:sz w:val="24"/>
              </w:rPr>
              <w:t>5</w:t>
            </w:r>
            <w:r w:rsidR="00C95C75">
              <w:rPr>
                <w:sz w:val="24"/>
              </w:rPr>
              <w:t>)</w:t>
            </w:r>
          </w:p>
        </w:tc>
      </w:tr>
      <w:tr w:rsidR="00C95C75" w:rsidTr="00A96D7A">
        <w:tc>
          <w:tcPr>
            <w:tcW w:w="1705" w:type="dxa"/>
          </w:tcPr>
          <w:p w:rsidR="00C95C75" w:rsidRDefault="00C95C75">
            <w:pPr>
              <w:rPr>
                <w:sz w:val="24"/>
              </w:rPr>
            </w:pPr>
            <w:r>
              <w:rPr>
                <w:sz w:val="24"/>
              </w:rPr>
              <w:t>CSM</w:t>
            </w:r>
            <w:r w:rsidR="00387FE1">
              <w:rPr>
                <w:sz w:val="24"/>
              </w:rPr>
              <w:t xml:space="preserve"> (n=14) </w:t>
            </w:r>
          </w:p>
        </w:tc>
        <w:tc>
          <w:tcPr>
            <w:tcW w:w="2070" w:type="dxa"/>
          </w:tcPr>
          <w:p w:rsidR="00C95C75" w:rsidRDefault="00302ED0" w:rsidP="00302ED0">
            <w:pPr>
              <w:jc w:val="center"/>
              <w:rPr>
                <w:sz w:val="24"/>
              </w:rPr>
            </w:pPr>
            <w:r>
              <w:rPr>
                <w:sz w:val="24"/>
              </w:rPr>
              <w:t>4.2</w:t>
            </w:r>
            <w:r w:rsidR="00C95C75">
              <w:rPr>
                <w:sz w:val="24"/>
              </w:rPr>
              <w:t xml:space="preserve"> (.4)</w:t>
            </w:r>
          </w:p>
        </w:tc>
      </w:tr>
      <w:tr w:rsidR="00C95C75" w:rsidTr="00A96D7A">
        <w:tc>
          <w:tcPr>
            <w:tcW w:w="1705" w:type="dxa"/>
          </w:tcPr>
          <w:p w:rsidR="00C95C75" w:rsidRDefault="00C95C75">
            <w:pPr>
              <w:rPr>
                <w:sz w:val="24"/>
              </w:rPr>
            </w:pPr>
            <w:r>
              <w:rPr>
                <w:sz w:val="24"/>
              </w:rPr>
              <w:t>CAH</w:t>
            </w:r>
            <w:r w:rsidR="00387FE1">
              <w:rPr>
                <w:sz w:val="24"/>
              </w:rPr>
              <w:t xml:space="preserve"> (n=9) </w:t>
            </w:r>
          </w:p>
        </w:tc>
        <w:tc>
          <w:tcPr>
            <w:tcW w:w="2070" w:type="dxa"/>
          </w:tcPr>
          <w:p w:rsidR="00C95C75" w:rsidRDefault="00C95C75" w:rsidP="00C949CB">
            <w:pPr>
              <w:jc w:val="center"/>
              <w:rPr>
                <w:sz w:val="24"/>
              </w:rPr>
            </w:pPr>
            <w:r>
              <w:rPr>
                <w:sz w:val="24"/>
              </w:rPr>
              <w:t>4.3 (.5)</w:t>
            </w:r>
          </w:p>
        </w:tc>
      </w:tr>
      <w:tr w:rsidR="00C95C75" w:rsidTr="00A96D7A">
        <w:tc>
          <w:tcPr>
            <w:tcW w:w="1705" w:type="dxa"/>
          </w:tcPr>
          <w:p w:rsidR="00C95C75" w:rsidRDefault="00C95C75">
            <w:pPr>
              <w:rPr>
                <w:sz w:val="24"/>
              </w:rPr>
            </w:pPr>
            <w:r>
              <w:rPr>
                <w:sz w:val="24"/>
              </w:rPr>
              <w:t>COSS</w:t>
            </w:r>
            <w:r w:rsidR="00387FE1">
              <w:rPr>
                <w:sz w:val="24"/>
              </w:rPr>
              <w:t xml:space="preserve"> (n=7) </w:t>
            </w:r>
          </w:p>
        </w:tc>
        <w:tc>
          <w:tcPr>
            <w:tcW w:w="2070" w:type="dxa"/>
          </w:tcPr>
          <w:p w:rsidR="00C95C75" w:rsidRDefault="00C95C75" w:rsidP="00C949CB">
            <w:pPr>
              <w:jc w:val="center"/>
              <w:rPr>
                <w:sz w:val="24"/>
              </w:rPr>
            </w:pPr>
            <w:r>
              <w:rPr>
                <w:sz w:val="24"/>
              </w:rPr>
              <w:t>4.4 (.</w:t>
            </w:r>
            <w:r w:rsidR="00C949CB">
              <w:rPr>
                <w:sz w:val="24"/>
              </w:rPr>
              <w:t>3</w:t>
            </w:r>
            <w:r>
              <w:rPr>
                <w:sz w:val="24"/>
              </w:rPr>
              <w:t>)</w:t>
            </w:r>
          </w:p>
        </w:tc>
      </w:tr>
      <w:tr w:rsidR="00C95C75" w:rsidTr="00A96D7A">
        <w:tc>
          <w:tcPr>
            <w:tcW w:w="1705" w:type="dxa"/>
          </w:tcPr>
          <w:p w:rsidR="00C95C75" w:rsidRDefault="00C95C75" w:rsidP="00C95C75">
            <w:pPr>
              <w:rPr>
                <w:sz w:val="24"/>
              </w:rPr>
            </w:pPr>
            <w:r>
              <w:rPr>
                <w:sz w:val="24"/>
              </w:rPr>
              <w:t>Jordan</w:t>
            </w:r>
            <w:r w:rsidR="00387FE1">
              <w:rPr>
                <w:sz w:val="24"/>
              </w:rPr>
              <w:t xml:space="preserve"> (15)</w:t>
            </w:r>
          </w:p>
        </w:tc>
        <w:tc>
          <w:tcPr>
            <w:tcW w:w="2070" w:type="dxa"/>
          </w:tcPr>
          <w:p w:rsidR="00C95C75" w:rsidRDefault="00C95C75" w:rsidP="00C949CB">
            <w:pPr>
              <w:jc w:val="center"/>
              <w:rPr>
                <w:sz w:val="24"/>
              </w:rPr>
            </w:pPr>
            <w:r>
              <w:rPr>
                <w:sz w:val="24"/>
              </w:rPr>
              <w:t>4.4 (.</w:t>
            </w:r>
            <w:r w:rsidR="00C949CB">
              <w:rPr>
                <w:sz w:val="24"/>
              </w:rPr>
              <w:t>3</w:t>
            </w:r>
            <w:r>
              <w:rPr>
                <w:sz w:val="24"/>
              </w:rPr>
              <w:t>)</w:t>
            </w:r>
          </w:p>
        </w:tc>
      </w:tr>
      <w:tr w:rsidR="00C95C75" w:rsidTr="00A96D7A">
        <w:tc>
          <w:tcPr>
            <w:tcW w:w="1705" w:type="dxa"/>
          </w:tcPr>
          <w:p w:rsidR="00C95C75" w:rsidRDefault="00C95C75">
            <w:pPr>
              <w:rPr>
                <w:sz w:val="24"/>
              </w:rPr>
            </w:pPr>
            <w:r>
              <w:rPr>
                <w:sz w:val="24"/>
              </w:rPr>
              <w:t>CHHS</w:t>
            </w:r>
            <w:r w:rsidR="00387FE1">
              <w:rPr>
                <w:sz w:val="24"/>
              </w:rPr>
              <w:t xml:space="preserve"> (n=9) </w:t>
            </w:r>
          </w:p>
        </w:tc>
        <w:tc>
          <w:tcPr>
            <w:tcW w:w="2070" w:type="dxa"/>
          </w:tcPr>
          <w:p w:rsidR="00C95C75" w:rsidRDefault="00C95C75" w:rsidP="00C949CB">
            <w:pPr>
              <w:jc w:val="center"/>
              <w:rPr>
                <w:sz w:val="24"/>
              </w:rPr>
            </w:pPr>
            <w:r>
              <w:rPr>
                <w:sz w:val="24"/>
              </w:rPr>
              <w:t>4.5 (.</w:t>
            </w:r>
            <w:r w:rsidR="00C949CB">
              <w:rPr>
                <w:sz w:val="24"/>
              </w:rPr>
              <w:t>3</w:t>
            </w:r>
            <w:r>
              <w:rPr>
                <w:sz w:val="24"/>
              </w:rPr>
              <w:t>)</w:t>
            </w:r>
          </w:p>
        </w:tc>
      </w:tr>
      <w:tr w:rsidR="00C95C75" w:rsidTr="00A96D7A">
        <w:tc>
          <w:tcPr>
            <w:tcW w:w="1705" w:type="dxa"/>
          </w:tcPr>
          <w:p w:rsidR="00C95C75" w:rsidRDefault="00C95C75">
            <w:pPr>
              <w:rPr>
                <w:sz w:val="24"/>
              </w:rPr>
            </w:pPr>
            <w:proofErr w:type="spellStart"/>
            <w:r>
              <w:rPr>
                <w:sz w:val="24"/>
              </w:rPr>
              <w:t>Kremen</w:t>
            </w:r>
            <w:proofErr w:type="spellEnd"/>
            <w:r w:rsidR="00387FE1">
              <w:rPr>
                <w:sz w:val="24"/>
              </w:rPr>
              <w:t xml:space="preserve"> (n=9) </w:t>
            </w:r>
          </w:p>
        </w:tc>
        <w:tc>
          <w:tcPr>
            <w:tcW w:w="2070" w:type="dxa"/>
          </w:tcPr>
          <w:p w:rsidR="00C95C75" w:rsidRDefault="00C95C75" w:rsidP="00C949CB">
            <w:pPr>
              <w:jc w:val="center"/>
              <w:rPr>
                <w:sz w:val="24"/>
              </w:rPr>
            </w:pPr>
            <w:r>
              <w:rPr>
                <w:sz w:val="24"/>
              </w:rPr>
              <w:t>4.6 (.2)</w:t>
            </w:r>
          </w:p>
        </w:tc>
      </w:tr>
    </w:tbl>
    <w:p w:rsidR="00C95C75" w:rsidRDefault="00C95C75">
      <w:pPr>
        <w:rPr>
          <w:sz w:val="24"/>
        </w:rPr>
      </w:pPr>
    </w:p>
    <w:p w:rsidR="00C95C75" w:rsidRDefault="00A96D7A">
      <w:pPr>
        <w:rPr>
          <w:sz w:val="24"/>
        </w:rPr>
      </w:pPr>
      <w:r w:rsidRPr="007B4535">
        <w:rPr>
          <w:sz w:val="24"/>
          <w:highlight w:val="yellow"/>
        </w:rPr>
        <w:t>FSSRI</w:t>
      </w:r>
      <w:r w:rsidR="00C95C75" w:rsidRPr="007B4535">
        <w:rPr>
          <w:sz w:val="24"/>
          <w:highlight w:val="yellow"/>
        </w:rPr>
        <w:t xml:space="preserve"> scores in colleges whose subjects are primarily quantitative </w:t>
      </w:r>
      <w:r w:rsidR="003A490A" w:rsidRPr="007B4535">
        <w:rPr>
          <w:sz w:val="24"/>
          <w:highlight w:val="yellow"/>
        </w:rPr>
        <w:t xml:space="preserve">(Lyles, Craig, CSM) </w:t>
      </w:r>
      <w:r w:rsidR="00C95C75" w:rsidRPr="007B4535">
        <w:rPr>
          <w:sz w:val="24"/>
          <w:highlight w:val="yellow"/>
        </w:rPr>
        <w:t>are lower than scores in colleges whose subjects are not as likely to be quantitative</w:t>
      </w:r>
      <w:r w:rsidR="003A490A" w:rsidRPr="007B4535">
        <w:rPr>
          <w:sz w:val="24"/>
          <w:highlight w:val="yellow"/>
        </w:rPr>
        <w:t xml:space="preserve"> (CAH, COSS, Jordan, CHHS, </w:t>
      </w:r>
      <w:proofErr w:type="spellStart"/>
      <w:r w:rsidR="003A490A" w:rsidRPr="007B4535">
        <w:rPr>
          <w:sz w:val="24"/>
          <w:highlight w:val="yellow"/>
        </w:rPr>
        <w:t>Kremen</w:t>
      </w:r>
      <w:proofErr w:type="spellEnd"/>
      <w:proofErr w:type="gramStart"/>
      <w:r w:rsidR="00FF30AC" w:rsidRPr="007B4535">
        <w:rPr>
          <w:sz w:val="24"/>
          <w:highlight w:val="yellow"/>
        </w:rPr>
        <w:t>)(</w:t>
      </w:r>
      <w:proofErr w:type="gramEnd"/>
      <w:r w:rsidR="00C949CB" w:rsidRPr="007B4535">
        <w:rPr>
          <w:sz w:val="24"/>
          <w:highlight w:val="yellow"/>
        </w:rPr>
        <w:t>F=17.78</w:t>
      </w:r>
      <w:r w:rsidR="003A490A" w:rsidRPr="007B4535">
        <w:rPr>
          <w:sz w:val="24"/>
          <w:highlight w:val="yellow"/>
        </w:rPr>
        <w:t xml:space="preserve">, </w:t>
      </w:r>
      <w:proofErr w:type="spellStart"/>
      <w:r w:rsidR="003A490A" w:rsidRPr="007B4535">
        <w:rPr>
          <w:sz w:val="24"/>
          <w:highlight w:val="yellow"/>
        </w:rPr>
        <w:t>df</w:t>
      </w:r>
      <w:proofErr w:type="spellEnd"/>
      <w:r w:rsidR="003A490A" w:rsidRPr="007B4535">
        <w:rPr>
          <w:sz w:val="24"/>
          <w:highlight w:val="yellow"/>
        </w:rPr>
        <w:t xml:space="preserve">=1, p&lt;.0001) </w:t>
      </w:r>
      <w:r w:rsidR="00C95C75" w:rsidRPr="007B4535">
        <w:rPr>
          <w:sz w:val="24"/>
          <w:highlight w:val="yellow"/>
        </w:rPr>
        <w:t>.</w:t>
      </w:r>
      <w:r w:rsidR="00C95C75">
        <w:rPr>
          <w:sz w:val="24"/>
        </w:rPr>
        <w:t xml:space="preserve"> </w:t>
      </w:r>
    </w:p>
    <w:p w:rsidR="00C95C75" w:rsidRDefault="00C95C75">
      <w:pPr>
        <w:rPr>
          <w:sz w:val="24"/>
        </w:rPr>
      </w:pPr>
      <w:r>
        <w:rPr>
          <w:sz w:val="24"/>
        </w:rPr>
        <w:t xml:space="preserve">Instructors were asked to self-report whether their class was </w:t>
      </w:r>
      <w:r w:rsidR="003A490A">
        <w:rPr>
          <w:sz w:val="24"/>
        </w:rPr>
        <w:t xml:space="preserve">entirely quantitative, partially quantitative, or not at all quantitative. This form of measurement also shows the same pattern, </w:t>
      </w:r>
      <w:r w:rsidR="00C949CB">
        <w:rPr>
          <w:sz w:val="24"/>
        </w:rPr>
        <w:t>(F=3.51</w:t>
      </w:r>
      <w:r w:rsidR="003A490A">
        <w:rPr>
          <w:sz w:val="24"/>
        </w:rPr>
        <w:t xml:space="preserve">, </w:t>
      </w:r>
      <w:proofErr w:type="spellStart"/>
      <w:proofErr w:type="gramStart"/>
      <w:r w:rsidR="003A490A">
        <w:rPr>
          <w:sz w:val="24"/>
        </w:rPr>
        <w:t>df</w:t>
      </w:r>
      <w:proofErr w:type="spellEnd"/>
      <w:r w:rsidR="003A490A">
        <w:rPr>
          <w:sz w:val="24"/>
        </w:rPr>
        <w:t>=</w:t>
      </w:r>
      <w:proofErr w:type="gramEnd"/>
      <w:r w:rsidR="003A490A">
        <w:rPr>
          <w:sz w:val="24"/>
        </w:rPr>
        <w:t>2, p=.0</w:t>
      </w:r>
      <w:r w:rsidR="00C949CB">
        <w:rPr>
          <w:sz w:val="24"/>
        </w:rPr>
        <w:t>4</w:t>
      </w:r>
      <w:r w:rsidR="003A490A">
        <w:rPr>
          <w:sz w:val="24"/>
        </w:rPr>
        <w:t>)</w:t>
      </w:r>
      <w:r w:rsidR="00FF30AC">
        <w:rPr>
          <w:sz w:val="24"/>
        </w:rPr>
        <w:t xml:space="preserve"> </w:t>
      </w:r>
      <w:r w:rsidR="00C949CB">
        <w:rPr>
          <w:sz w:val="24"/>
        </w:rPr>
        <w:t xml:space="preserve">but the </w:t>
      </w:r>
      <w:r w:rsidR="00FF30AC">
        <w:rPr>
          <w:sz w:val="24"/>
        </w:rPr>
        <w:t>differences between groups are much smaller</w:t>
      </w:r>
      <w:r w:rsidR="007B4535">
        <w:rPr>
          <w:sz w:val="24"/>
        </w:rPr>
        <w:t>, only .3 point on a 5 point scale</w:t>
      </w:r>
      <w:r w:rsidR="003A490A">
        <w:rPr>
          <w:sz w:val="24"/>
        </w:rPr>
        <w:t>.</w:t>
      </w:r>
      <w:r w:rsidR="00FF30AC">
        <w:rPr>
          <w:sz w:val="24"/>
        </w:rPr>
        <w:t xml:space="preserve"> We suspect that instructors differ on their standards for what they consider “quantitative”. </w:t>
      </w:r>
      <w:r w:rsidR="003A490A">
        <w:rPr>
          <w:sz w:val="24"/>
        </w:rPr>
        <w:t xml:space="preserve"> </w:t>
      </w:r>
    </w:p>
    <w:tbl>
      <w:tblPr>
        <w:tblStyle w:val="TableGrid"/>
        <w:tblW w:w="0" w:type="auto"/>
        <w:tblLook w:val="04A0" w:firstRow="1" w:lastRow="0" w:firstColumn="1" w:lastColumn="0" w:noHBand="0" w:noVBand="1"/>
      </w:tblPr>
      <w:tblGrid>
        <w:gridCol w:w="2425"/>
        <w:gridCol w:w="2160"/>
      </w:tblGrid>
      <w:tr w:rsidR="00A96D7A" w:rsidTr="00A96D7A">
        <w:tc>
          <w:tcPr>
            <w:tcW w:w="2425" w:type="dxa"/>
            <w:shd w:val="clear" w:color="auto" w:fill="D9D9D9" w:themeFill="background1" w:themeFillShade="D9"/>
          </w:tcPr>
          <w:p w:rsidR="00A96D7A" w:rsidRDefault="00A96D7A" w:rsidP="00A96D7A">
            <w:pPr>
              <w:rPr>
                <w:sz w:val="24"/>
              </w:rPr>
            </w:pPr>
            <w:r>
              <w:rPr>
                <w:sz w:val="24"/>
              </w:rPr>
              <w:t xml:space="preserve">Quantitative (by instructor report) </w:t>
            </w:r>
          </w:p>
        </w:tc>
        <w:tc>
          <w:tcPr>
            <w:tcW w:w="2160" w:type="dxa"/>
            <w:shd w:val="clear" w:color="auto" w:fill="D9D9D9" w:themeFill="background1" w:themeFillShade="D9"/>
          </w:tcPr>
          <w:p w:rsidR="00A96D7A" w:rsidRDefault="00A96D7A" w:rsidP="00A96D7A">
            <w:pPr>
              <w:rPr>
                <w:sz w:val="24"/>
              </w:rPr>
            </w:pPr>
            <w:r>
              <w:rPr>
                <w:sz w:val="24"/>
              </w:rPr>
              <w:t>FSSRI Total Score</w:t>
            </w:r>
          </w:p>
          <w:p w:rsidR="00A96D7A" w:rsidRDefault="00A96D7A" w:rsidP="00A96D7A">
            <w:pPr>
              <w:rPr>
                <w:sz w:val="24"/>
              </w:rPr>
            </w:pPr>
            <w:r>
              <w:rPr>
                <w:sz w:val="24"/>
              </w:rPr>
              <w:t>Mean (</w:t>
            </w:r>
            <w:proofErr w:type="spellStart"/>
            <w:r>
              <w:rPr>
                <w:sz w:val="24"/>
              </w:rPr>
              <w:t>sd</w:t>
            </w:r>
            <w:proofErr w:type="spellEnd"/>
            <w:r>
              <w:rPr>
                <w:sz w:val="24"/>
              </w:rPr>
              <w:t xml:space="preserve">) </w:t>
            </w:r>
          </w:p>
        </w:tc>
      </w:tr>
      <w:tr w:rsidR="003A490A" w:rsidTr="00A96D7A">
        <w:tc>
          <w:tcPr>
            <w:tcW w:w="2425" w:type="dxa"/>
          </w:tcPr>
          <w:p w:rsidR="003A490A" w:rsidRDefault="003A490A" w:rsidP="003810D2">
            <w:pPr>
              <w:rPr>
                <w:sz w:val="24"/>
              </w:rPr>
            </w:pPr>
            <w:r>
              <w:rPr>
                <w:sz w:val="24"/>
              </w:rPr>
              <w:t xml:space="preserve">Not at all </w:t>
            </w:r>
            <w:r w:rsidR="00387FE1">
              <w:rPr>
                <w:sz w:val="24"/>
              </w:rPr>
              <w:t xml:space="preserve">(n=39) </w:t>
            </w:r>
          </w:p>
        </w:tc>
        <w:tc>
          <w:tcPr>
            <w:tcW w:w="2160" w:type="dxa"/>
          </w:tcPr>
          <w:p w:rsidR="003A490A" w:rsidRDefault="003A490A" w:rsidP="00C949CB">
            <w:pPr>
              <w:jc w:val="center"/>
              <w:rPr>
                <w:sz w:val="24"/>
              </w:rPr>
            </w:pPr>
            <w:r>
              <w:rPr>
                <w:sz w:val="24"/>
              </w:rPr>
              <w:t>4.4 (.</w:t>
            </w:r>
            <w:r w:rsidR="00C949CB">
              <w:rPr>
                <w:sz w:val="24"/>
              </w:rPr>
              <w:t>4</w:t>
            </w:r>
            <w:r>
              <w:rPr>
                <w:sz w:val="24"/>
              </w:rPr>
              <w:t>)</w:t>
            </w:r>
          </w:p>
        </w:tc>
      </w:tr>
      <w:tr w:rsidR="003A490A" w:rsidTr="00A96D7A">
        <w:tc>
          <w:tcPr>
            <w:tcW w:w="2425" w:type="dxa"/>
          </w:tcPr>
          <w:p w:rsidR="003A490A" w:rsidRDefault="003A490A" w:rsidP="003810D2">
            <w:pPr>
              <w:rPr>
                <w:sz w:val="24"/>
              </w:rPr>
            </w:pPr>
            <w:r>
              <w:rPr>
                <w:sz w:val="24"/>
              </w:rPr>
              <w:t>Partially</w:t>
            </w:r>
            <w:r w:rsidR="00C949CB">
              <w:rPr>
                <w:sz w:val="24"/>
              </w:rPr>
              <w:t xml:space="preserve"> (n=29</w:t>
            </w:r>
            <w:r w:rsidR="00387FE1">
              <w:rPr>
                <w:sz w:val="24"/>
              </w:rPr>
              <w:t xml:space="preserve">) </w:t>
            </w:r>
            <w:r>
              <w:rPr>
                <w:sz w:val="24"/>
              </w:rPr>
              <w:t xml:space="preserve"> </w:t>
            </w:r>
          </w:p>
        </w:tc>
        <w:tc>
          <w:tcPr>
            <w:tcW w:w="2160" w:type="dxa"/>
          </w:tcPr>
          <w:p w:rsidR="003A490A" w:rsidRDefault="003A490A" w:rsidP="00C949CB">
            <w:pPr>
              <w:jc w:val="center"/>
              <w:rPr>
                <w:sz w:val="24"/>
              </w:rPr>
            </w:pPr>
            <w:r>
              <w:rPr>
                <w:sz w:val="24"/>
              </w:rPr>
              <w:t>4.3 (.4)</w:t>
            </w:r>
          </w:p>
        </w:tc>
      </w:tr>
      <w:tr w:rsidR="003A490A" w:rsidTr="00A96D7A">
        <w:tc>
          <w:tcPr>
            <w:tcW w:w="2425" w:type="dxa"/>
          </w:tcPr>
          <w:p w:rsidR="00387FE1" w:rsidRDefault="003A490A" w:rsidP="00C949CB">
            <w:pPr>
              <w:rPr>
                <w:sz w:val="24"/>
              </w:rPr>
            </w:pPr>
            <w:r>
              <w:rPr>
                <w:sz w:val="24"/>
              </w:rPr>
              <w:t xml:space="preserve">Entirely </w:t>
            </w:r>
            <w:r w:rsidR="00387FE1">
              <w:rPr>
                <w:sz w:val="24"/>
              </w:rPr>
              <w:t>(n=1</w:t>
            </w:r>
            <w:r w:rsidR="00C949CB">
              <w:rPr>
                <w:sz w:val="24"/>
              </w:rPr>
              <w:t>3</w:t>
            </w:r>
            <w:r w:rsidR="00387FE1">
              <w:rPr>
                <w:sz w:val="24"/>
              </w:rPr>
              <w:t xml:space="preserve">) </w:t>
            </w:r>
          </w:p>
        </w:tc>
        <w:tc>
          <w:tcPr>
            <w:tcW w:w="2160" w:type="dxa"/>
          </w:tcPr>
          <w:p w:rsidR="003A490A" w:rsidRDefault="003A490A" w:rsidP="003810D2">
            <w:pPr>
              <w:jc w:val="center"/>
              <w:rPr>
                <w:sz w:val="24"/>
              </w:rPr>
            </w:pPr>
            <w:r>
              <w:rPr>
                <w:sz w:val="24"/>
              </w:rPr>
              <w:t>4</w:t>
            </w:r>
            <w:r w:rsidR="00C949CB">
              <w:rPr>
                <w:sz w:val="24"/>
              </w:rPr>
              <w:t>.1 (.4</w:t>
            </w:r>
            <w:r>
              <w:rPr>
                <w:sz w:val="24"/>
              </w:rPr>
              <w:t>)</w:t>
            </w:r>
          </w:p>
        </w:tc>
      </w:tr>
    </w:tbl>
    <w:p w:rsidR="003A490A" w:rsidRDefault="003A490A">
      <w:pPr>
        <w:rPr>
          <w:sz w:val="24"/>
        </w:rPr>
      </w:pPr>
    </w:p>
    <w:p w:rsidR="00C95C75" w:rsidRDefault="003A4DED">
      <w:pPr>
        <w:rPr>
          <w:sz w:val="24"/>
        </w:rPr>
      </w:pPr>
      <w:r>
        <w:rPr>
          <w:sz w:val="24"/>
        </w:rPr>
        <w:t>In search of an better operational definition of “quantitative”, w</w:t>
      </w:r>
      <w:r w:rsidR="00FF30AC">
        <w:rPr>
          <w:sz w:val="24"/>
        </w:rPr>
        <w:t xml:space="preserve">e </w:t>
      </w:r>
      <w:r>
        <w:rPr>
          <w:sz w:val="24"/>
        </w:rPr>
        <w:t>decided</w:t>
      </w:r>
      <w:r w:rsidR="00FF30AC">
        <w:rPr>
          <w:sz w:val="24"/>
        </w:rPr>
        <w:t xml:space="preserve"> that in the more quantitative colleges (Lyles, Craig, CSM) every class would be considered quantitative unless it was des</w:t>
      </w:r>
      <w:r>
        <w:rPr>
          <w:sz w:val="24"/>
        </w:rPr>
        <w:t>cribed as “conceptual”</w:t>
      </w:r>
      <w:r w:rsidR="00FF30AC">
        <w:rPr>
          <w:sz w:val="24"/>
        </w:rPr>
        <w:t xml:space="preserve">; in the less quantitative colleges (CAH, COSS, Jordan, CHHS, </w:t>
      </w:r>
      <w:proofErr w:type="spellStart"/>
      <w:r w:rsidR="00FF30AC">
        <w:rPr>
          <w:sz w:val="24"/>
        </w:rPr>
        <w:t>Kremen</w:t>
      </w:r>
      <w:proofErr w:type="spellEnd"/>
      <w:r w:rsidR="00FF30AC">
        <w:rPr>
          <w:sz w:val="24"/>
        </w:rPr>
        <w:t xml:space="preserve">) classes would only be considered quantitative if they were about research methods and statistics. </w:t>
      </w:r>
    </w:p>
    <w:tbl>
      <w:tblPr>
        <w:tblStyle w:val="TableGrid"/>
        <w:tblW w:w="0" w:type="auto"/>
        <w:tblLook w:val="04A0" w:firstRow="1" w:lastRow="0" w:firstColumn="1" w:lastColumn="0" w:noHBand="0" w:noVBand="1"/>
      </w:tblPr>
      <w:tblGrid>
        <w:gridCol w:w="2695"/>
        <w:gridCol w:w="1890"/>
      </w:tblGrid>
      <w:tr w:rsidR="00A96D7A" w:rsidTr="00A96D7A">
        <w:tc>
          <w:tcPr>
            <w:tcW w:w="2695" w:type="dxa"/>
            <w:shd w:val="clear" w:color="auto" w:fill="D9D9D9" w:themeFill="background1" w:themeFillShade="D9"/>
          </w:tcPr>
          <w:p w:rsidR="00A96D7A" w:rsidRDefault="00A96D7A" w:rsidP="00A96D7A">
            <w:pPr>
              <w:rPr>
                <w:sz w:val="24"/>
              </w:rPr>
            </w:pPr>
            <w:r>
              <w:rPr>
                <w:sz w:val="24"/>
              </w:rPr>
              <w:t xml:space="preserve">Quantitative (by college and course title) </w:t>
            </w:r>
          </w:p>
        </w:tc>
        <w:tc>
          <w:tcPr>
            <w:tcW w:w="1890" w:type="dxa"/>
            <w:shd w:val="clear" w:color="auto" w:fill="D9D9D9" w:themeFill="background1" w:themeFillShade="D9"/>
          </w:tcPr>
          <w:p w:rsidR="00A96D7A" w:rsidRDefault="00A96D7A" w:rsidP="00A96D7A">
            <w:pPr>
              <w:rPr>
                <w:sz w:val="24"/>
              </w:rPr>
            </w:pPr>
            <w:r>
              <w:rPr>
                <w:sz w:val="24"/>
              </w:rPr>
              <w:t>FSSRI Total Score</w:t>
            </w:r>
          </w:p>
          <w:p w:rsidR="00A96D7A" w:rsidRDefault="00A96D7A" w:rsidP="00A96D7A">
            <w:pPr>
              <w:rPr>
                <w:sz w:val="24"/>
              </w:rPr>
            </w:pPr>
            <w:r>
              <w:rPr>
                <w:sz w:val="24"/>
              </w:rPr>
              <w:t>Mean (</w:t>
            </w:r>
            <w:proofErr w:type="spellStart"/>
            <w:r>
              <w:rPr>
                <w:sz w:val="24"/>
              </w:rPr>
              <w:t>sd</w:t>
            </w:r>
            <w:proofErr w:type="spellEnd"/>
            <w:r>
              <w:rPr>
                <w:sz w:val="24"/>
              </w:rPr>
              <w:t xml:space="preserve">) </w:t>
            </w:r>
          </w:p>
        </w:tc>
      </w:tr>
      <w:tr w:rsidR="00387FE1" w:rsidTr="00A96D7A">
        <w:tc>
          <w:tcPr>
            <w:tcW w:w="2695" w:type="dxa"/>
          </w:tcPr>
          <w:p w:rsidR="00387FE1" w:rsidRDefault="00387FE1">
            <w:pPr>
              <w:rPr>
                <w:sz w:val="24"/>
              </w:rPr>
            </w:pPr>
            <w:r>
              <w:rPr>
                <w:sz w:val="24"/>
              </w:rPr>
              <w:t xml:space="preserve">No (n=47) </w:t>
            </w:r>
          </w:p>
        </w:tc>
        <w:tc>
          <w:tcPr>
            <w:tcW w:w="1890" w:type="dxa"/>
          </w:tcPr>
          <w:p w:rsidR="00387FE1" w:rsidRDefault="00C949CB" w:rsidP="003D1805">
            <w:pPr>
              <w:jc w:val="center"/>
              <w:rPr>
                <w:sz w:val="24"/>
              </w:rPr>
            </w:pPr>
            <w:r>
              <w:rPr>
                <w:sz w:val="24"/>
              </w:rPr>
              <w:t>4.4 (.4)</w:t>
            </w:r>
          </w:p>
        </w:tc>
      </w:tr>
      <w:tr w:rsidR="00387FE1" w:rsidTr="00A96D7A">
        <w:tc>
          <w:tcPr>
            <w:tcW w:w="2695" w:type="dxa"/>
          </w:tcPr>
          <w:p w:rsidR="00387FE1" w:rsidRDefault="00387FE1" w:rsidP="00C949CB">
            <w:pPr>
              <w:rPr>
                <w:sz w:val="24"/>
              </w:rPr>
            </w:pPr>
            <w:r>
              <w:rPr>
                <w:sz w:val="24"/>
              </w:rPr>
              <w:t>Yes (n=3</w:t>
            </w:r>
            <w:r w:rsidR="00C949CB">
              <w:rPr>
                <w:sz w:val="24"/>
              </w:rPr>
              <w:t>4</w:t>
            </w:r>
            <w:r>
              <w:rPr>
                <w:sz w:val="24"/>
              </w:rPr>
              <w:t xml:space="preserve">) </w:t>
            </w:r>
          </w:p>
        </w:tc>
        <w:tc>
          <w:tcPr>
            <w:tcW w:w="1890" w:type="dxa"/>
          </w:tcPr>
          <w:p w:rsidR="00387FE1" w:rsidRDefault="00387FE1" w:rsidP="00C949CB">
            <w:pPr>
              <w:jc w:val="center"/>
              <w:rPr>
                <w:sz w:val="24"/>
              </w:rPr>
            </w:pPr>
            <w:r>
              <w:rPr>
                <w:sz w:val="24"/>
              </w:rPr>
              <w:t>4.1</w:t>
            </w:r>
            <w:r w:rsidR="00C949CB">
              <w:rPr>
                <w:sz w:val="24"/>
              </w:rPr>
              <w:t xml:space="preserve"> (.4) </w:t>
            </w:r>
          </w:p>
        </w:tc>
      </w:tr>
    </w:tbl>
    <w:p w:rsidR="00387FE1" w:rsidRDefault="00387FE1">
      <w:pPr>
        <w:rPr>
          <w:sz w:val="24"/>
        </w:rPr>
      </w:pPr>
    </w:p>
    <w:p w:rsidR="00FF30AC" w:rsidRDefault="00387FE1">
      <w:pPr>
        <w:rPr>
          <w:sz w:val="24"/>
        </w:rPr>
      </w:pPr>
      <w:r>
        <w:rPr>
          <w:sz w:val="24"/>
        </w:rPr>
        <w:t xml:space="preserve">By this definition, </w:t>
      </w:r>
      <w:r w:rsidRPr="007B4535">
        <w:rPr>
          <w:sz w:val="24"/>
          <w:highlight w:val="yellow"/>
        </w:rPr>
        <w:t xml:space="preserve">there is a statistically significant difference between the quantitative and </w:t>
      </w:r>
      <w:r w:rsidR="00C949CB" w:rsidRPr="007B4535">
        <w:rPr>
          <w:sz w:val="24"/>
          <w:highlight w:val="yellow"/>
        </w:rPr>
        <w:t>non-quantitative courses (F=12.2</w:t>
      </w:r>
      <w:r w:rsidRPr="007B4535">
        <w:rPr>
          <w:sz w:val="24"/>
          <w:highlight w:val="yellow"/>
        </w:rPr>
        <w:t xml:space="preserve">, </w:t>
      </w:r>
      <w:proofErr w:type="spellStart"/>
      <w:proofErr w:type="gramStart"/>
      <w:r w:rsidRPr="007B4535">
        <w:rPr>
          <w:sz w:val="24"/>
          <w:highlight w:val="yellow"/>
        </w:rPr>
        <w:t>df</w:t>
      </w:r>
      <w:proofErr w:type="spellEnd"/>
      <w:r w:rsidRPr="007B4535">
        <w:rPr>
          <w:sz w:val="24"/>
          <w:highlight w:val="yellow"/>
        </w:rPr>
        <w:t>=</w:t>
      </w:r>
      <w:proofErr w:type="gramEnd"/>
      <w:r w:rsidRPr="007B4535">
        <w:rPr>
          <w:sz w:val="24"/>
          <w:highlight w:val="yellow"/>
        </w:rPr>
        <w:t>1, p</w:t>
      </w:r>
      <w:r w:rsidR="00C949CB" w:rsidRPr="007B4535">
        <w:rPr>
          <w:sz w:val="24"/>
          <w:highlight w:val="yellow"/>
        </w:rPr>
        <w:t>=</w:t>
      </w:r>
      <w:r w:rsidRPr="007B4535">
        <w:rPr>
          <w:sz w:val="24"/>
          <w:highlight w:val="yellow"/>
        </w:rPr>
        <w:t>.001)</w:t>
      </w:r>
      <w:r w:rsidR="007B4535" w:rsidRPr="007B4535">
        <w:rPr>
          <w:sz w:val="24"/>
          <w:highlight w:val="yellow"/>
        </w:rPr>
        <w:t>,</w:t>
      </w:r>
      <w:r w:rsidR="007B4535">
        <w:rPr>
          <w:sz w:val="24"/>
        </w:rPr>
        <w:t xml:space="preserve"> with an average difference of .3 points on a 5 point scale</w:t>
      </w:r>
      <w:r>
        <w:rPr>
          <w:sz w:val="24"/>
        </w:rPr>
        <w:t xml:space="preserve">. </w:t>
      </w:r>
    </w:p>
    <w:p w:rsidR="00EA2EE1" w:rsidRDefault="00C6282D">
      <w:pPr>
        <w:rPr>
          <w:sz w:val="24"/>
        </w:rPr>
      </w:pPr>
      <w:r>
        <w:rPr>
          <w:sz w:val="24"/>
        </w:rPr>
        <w:t xml:space="preserve">But it is not clear </w:t>
      </w:r>
      <w:proofErr w:type="gramStart"/>
      <w:r>
        <w:rPr>
          <w:sz w:val="24"/>
        </w:rPr>
        <w:t>what is the appropriate operational definition of a “quantitative class”</w:t>
      </w:r>
      <w:proofErr w:type="gramEnd"/>
      <w:r>
        <w:rPr>
          <w:sz w:val="24"/>
        </w:rPr>
        <w:t xml:space="preserve">. </w:t>
      </w:r>
    </w:p>
    <w:p w:rsidR="00EA2EE1" w:rsidRDefault="00A96D7A">
      <w:pPr>
        <w:rPr>
          <w:sz w:val="24"/>
        </w:rPr>
      </w:pPr>
      <w:r>
        <w:rPr>
          <w:sz w:val="24"/>
          <w:u w:val="single"/>
        </w:rPr>
        <w:t>Student Variables</w:t>
      </w:r>
    </w:p>
    <w:p w:rsidR="007B4535" w:rsidRDefault="007B4535">
      <w:pPr>
        <w:rPr>
          <w:sz w:val="24"/>
        </w:rPr>
      </w:pPr>
      <w:r>
        <w:rPr>
          <w:sz w:val="24"/>
        </w:rPr>
        <w:t xml:space="preserve">We explored variables related to the student, </w:t>
      </w:r>
      <w:proofErr w:type="spellStart"/>
      <w:r>
        <w:rPr>
          <w:sz w:val="24"/>
        </w:rPr>
        <w:t>rater</w:t>
      </w:r>
      <w:proofErr w:type="spellEnd"/>
      <w:r>
        <w:rPr>
          <w:sz w:val="24"/>
        </w:rPr>
        <w:t xml:space="preserve"> than the class or instructor, to see if those were related to ratings. </w:t>
      </w:r>
    </w:p>
    <w:p w:rsidR="00CC4E77" w:rsidRDefault="00CC4E77">
      <w:pPr>
        <w:rPr>
          <w:sz w:val="24"/>
        </w:rPr>
      </w:pPr>
      <w:r>
        <w:rPr>
          <w:sz w:val="24"/>
        </w:rPr>
        <w:t xml:space="preserve">There is not a </w:t>
      </w:r>
      <w:r w:rsidR="00DB31CB">
        <w:rPr>
          <w:sz w:val="24"/>
        </w:rPr>
        <w:t>significant</w:t>
      </w:r>
      <w:r>
        <w:rPr>
          <w:sz w:val="24"/>
        </w:rPr>
        <w:t xml:space="preserve"> correlation between student level </w:t>
      </w:r>
      <w:r w:rsidR="007B4535">
        <w:rPr>
          <w:sz w:val="24"/>
        </w:rPr>
        <w:t xml:space="preserve">(e.g., freshman, sophomore, etc.) </w:t>
      </w:r>
      <w:r>
        <w:rPr>
          <w:sz w:val="24"/>
        </w:rPr>
        <w:t xml:space="preserve">and student rating (r=-0.3, p=.26). </w:t>
      </w:r>
    </w:p>
    <w:p w:rsidR="00831141" w:rsidRDefault="00527A27">
      <w:pPr>
        <w:rPr>
          <w:sz w:val="24"/>
        </w:rPr>
      </w:pPr>
      <w:r>
        <w:rPr>
          <w:sz w:val="24"/>
        </w:rPr>
        <w:t xml:space="preserve">Ratings differ by the student’s </w:t>
      </w:r>
      <w:r w:rsidRPr="007B4535">
        <w:rPr>
          <w:sz w:val="24"/>
          <w:highlight w:val="yellow"/>
        </w:rPr>
        <w:t>rea</w:t>
      </w:r>
      <w:r w:rsidR="00CC4E77" w:rsidRPr="007B4535">
        <w:rPr>
          <w:sz w:val="24"/>
          <w:highlight w:val="yellow"/>
        </w:rPr>
        <w:t>son for taking the class (F=4.79</w:t>
      </w:r>
      <w:r w:rsidRPr="007B4535">
        <w:rPr>
          <w:sz w:val="24"/>
          <w:highlight w:val="yellow"/>
        </w:rPr>
        <w:t xml:space="preserve">, </w:t>
      </w:r>
      <w:proofErr w:type="spellStart"/>
      <w:proofErr w:type="gramStart"/>
      <w:r w:rsidRPr="007B4535">
        <w:rPr>
          <w:sz w:val="24"/>
          <w:highlight w:val="yellow"/>
        </w:rPr>
        <w:t>df</w:t>
      </w:r>
      <w:proofErr w:type="spellEnd"/>
      <w:r w:rsidRPr="007B4535">
        <w:rPr>
          <w:sz w:val="24"/>
          <w:highlight w:val="yellow"/>
        </w:rPr>
        <w:t>=</w:t>
      </w:r>
      <w:proofErr w:type="gramEnd"/>
      <w:r w:rsidRPr="007B4535">
        <w:rPr>
          <w:sz w:val="24"/>
          <w:highlight w:val="yellow"/>
        </w:rPr>
        <w:t>4, p=.001).</w:t>
      </w:r>
      <w:r>
        <w:rPr>
          <w:sz w:val="24"/>
        </w:rPr>
        <w:t xml:space="preserve"> It appears that the vast majority of students reported on classes that were required for their degrees, either as core requirements or major electives. General electives were rated about the same as those classes, but GE classes were rated a bit lower, and classes taken for some other (unstated) reason were rated much higher. </w:t>
      </w:r>
    </w:p>
    <w:tbl>
      <w:tblPr>
        <w:tblStyle w:val="TableGrid"/>
        <w:tblW w:w="0" w:type="auto"/>
        <w:tblLook w:val="04A0" w:firstRow="1" w:lastRow="0" w:firstColumn="1" w:lastColumn="0" w:noHBand="0" w:noVBand="1"/>
      </w:tblPr>
      <w:tblGrid>
        <w:gridCol w:w="4855"/>
        <w:gridCol w:w="1870"/>
      </w:tblGrid>
      <w:tr w:rsidR="00831141" w:rsidTr="00527A27">
        <w:tc>
          <w:tcPr>
            <w:tcW w:w="4855" w:type="dxa"/>
            <w:shd w:val="clear" w:color="auto" w:fill="D9D9D9" w:themeFill="background1" w:themeFillShade="D9"/>
          </w:tcPr>
          <w:p w:rsidR="00831141" w:rsidRDefault="00831141" w:rsidP="00D50FCD">
            <w:pPr>
              <w:rPr>
                <w:sz w:val="24"/>
              </w:rPr>
            </w:pPr>
            <w:r>
              <w:rPr>
                <w:sz w:val="24"/>
              </w:rPr>
              <w:t xml:space="preserve">Reason for taking class (student report) </w:t>
            </w:r>
          </w:p>
        </w:tc>
        <w:tc>
          <w:tcPr>
            <w:tcW w:w="1870" w:type="dxa"/>
            <w:shd w:val="clear" w:color="auto" w:fill="D9D9D9" w:themeFill="background1" w:themeFillShade="D9"/>
          </w:tcPr>
          <w:p w:rsidR="00831141" w:rsidRDefault="00831141" w:rsidP="00D50FCD">
            <w:pPr>
              <w:jc w:val="center"/>
              <w:rPr>
                <w:sz w:val="24"/>
              </w:rPr>
            </w:pPr>
            <w:r>
              <w:rPr>
                <w:sz w:val="24"/>
              </w:rPr>
              <w:t>Summary Score</w:t>
            </w:r>
          </w:p>
          <w:p w:rsidR="00831141" w:rsidRDefault="00831141" w:rsidP="00D50FCD">
            <w:pPr>
              <w:jc w:val="center"/>
              <w:rPr>
                <w:sz w:val="24"/>
              </w:rPr>
            </w:pPr>
            <w:r>
              <w:rPr>
                <w:sz w:val="24"/>
              </w:rPr>
              <w:t>Mean (</w:t>
            </w:r>
            <w:proofErr w:type="spellStart"/>
            <w:r>
              <w:rPr>
                <w:sz w:val="24"/>
              </w:rPr>
              <w:t>sd</w:t>
            </w:r>
            <w:proofErr w:type="spellEnd"/>
            <w:r>
              <w:rPr>
                <w:sz w:val="24"/>
              </w:rPr>
              <w:t xml:space="preserve">) </w:t>
            </w:r>
          </w:p>
        </w:tc>
      </w:tr>
      <w:tr w:rsidR="00831141" w:rsidTr="00527A27">
        <w:tc>
          <w:tcPr>
            <w:tcW w:w="4855" w:type="dxa"/>
          </w:tcPr>
          <w:p w:rsidR="00831141" w:rsidRDefault="00831141" w:rsidP="00527A27">
            <w:pPr>
              <w:rPr>
                <w:sz w:val="24"/>
              </w:rPr>
            </w:pPr>
            <w:r>
              <w:rPr>
                <w:sz w:val="24"/>
              </w:rPr>
              <w:t>Core course</w:t>
            </w:r>
            <w:r w:rsidR="00527A27">
              <w:rPr>
                <w:sz w:val="24"/>
              </w:rPr>
              <w:t xml:space="preserve"> required for my degree</w:t>
            </w:r>
            <w:r>
              <w:rPr>
                <w:sz w:val="24"/>
              </w:rPr>
              <w:t xml:space="preserve"> (n=1237)</w:t>
            </w:r>
          </w:p>
        </w:tc>
        <w:tc>
          <w:tcPr>
            <w:tcW w:w="1870" w:type="dxa"/>
          </w:tcPr>
          <w:p w:rsidR="00831141" w:rsidRDefault="00CC4E77" w:rsidP="00CC4E77">
            <w:pPr>
              <w:jc w:val="center"/>
              <w:rPr>
                <w:sz w:val="24"/>
              </w:rPr>
            </w:pPr>
            <w:r>
              <w:rPr>
                <w:sz w:val="24"/>
              </w:rPr>
              <w:t>4.3</w:t>
            </w:r>
            <w:r w:rsidR="00831141">
              <w:rPr>
                <w:sz w:val="24"/>
              </w:rPr>
              <w:t xml:space="preserve"> (.7)</w:t>
            </w:r>
          </w:p>
        </w:tc>
      </w:tr>
      <w:tr w:rsidR="00831141" w:rsidTr="00527A27">
        <w:tc>
          <w:tcPr>
            <w:tcW w:w="4855" w:type="dxa"/>
          </w:tcPr>
          <w:p w:rsidR="00831141" w:rsidRDefault="00831141" w:rsidP="00527A27">
            <w:pPr>
              <w:rPr>
                <w:sz w:val="24"/>
              </w:rPr>
            </w:pPr>
            <w:r>
              <w:rPr>
                <w:sz w:val="24"/>
              </w:rPr>
              <w:t xml:space="preserve">Major </w:t>
            </w:r>
            <w:r w:rsidR="00527A27">
              <w:rPr>
                <w:sz w:val="24"/>
              </w:rPr>
              <w:t>e</w:t>
            </w:r>
            <w:r>
              <w:rPr>
                <w:sz w:val="24"/>
              </w:rPr>
              <w:t xml:space="preserve">lective </w:t>
            </w:r>
            <w:r w:rsidR="00527A27">
              <w:rPr>
                <w:sz w:val="24"/>
              </w:rPr>
              <w:t xml:space="preserve">for my degree </w:t>
            </w:r>
            <w:r>
              <w:rPr>
                <w:sz w:val="24"/>
              </w:rPr>
              <w:t>(n=346)</w:t>
            </w:r>
          </w:p>
        </w:tc>
        <w:tc>
          <w:tcPr>
            <w:tcW w:w="1870" w:type="dxa"/>
          </w:tcPr>
          <w:p w:rsidR="00831141" w:rsidRDefault="00831141" w:rsidP="00CC4E77">
            <w:pPr>
              <w:jc w:val="center"/>
              <w:rPr>
                <w:sz w:val="24"/>
              </w:rPr>
            </w:pPr>
            <w:r>
              <w:rPr>
                <w:sz w:val="24"/>
              </w:rPr>
              <w:t>4.</w:t>
            </w:r>
            <w:r w:rsidR="00CC4E77">
              <w:rPr>
                <w:sz w:val="24"/>
              </w:rPr>
              <w:t>3</w:t>
            </w:r>
            <w:r>
              <w:rPr>
                <w:sz w:val="24"/>
              </w:rPr>
              <w:t xml:space="preserve"> (.7)</w:t>
            </w:r>
          </w:p>
        </w:tc>
      </w:tr>
      <w:tr w:rsidR="00831141" w:rsidTr="00527A27">
        <w:tc>
          <w:tcPr>
            <w:tcW w:w="4855" w:type="dxa"/>
          </w:tcPr>
          <w:p w:rsidR="00831141" w:rsidRDefault="00831141" w:rsidP="00D50FCD">
            <w:pPr>
              <w:rPr>
                <w:sz w:val="24"/>
              </w:rPr>
            </w:pPr>
            <w:r>
              <w:rPr>
                <w:sz w:val="24"/>
              </w:rPr>
              <w:t xml:space="preserve">General Education (n=253) </w:t>
            </w:r>
          </w:p>
        </w:tc>
        <w:tc>
          <w:tcPr>
            <w:tcW w:w="1870" w:type="dxa"/>
          </w:tcPr>
          <w:p w:rsidR="00831141" w:rsidRDefault="00831141" w:rsidP="00CC4E77">
            <w:pPr>
              <w:jc w:val="center"/>
              <w:rPr>
                <w:sz w:val="24"/>
              </w:rPr>
            </w:pPr>
            <w:r>
              <w:rPr>
                <w:sz w:val="24"/>
              </w:rPr>
              <w:t>4.</w:t>
            </w:r>
            <w:r w:rsidR="00CC4E77">
              <w:rPr>
                <w:sz w:val="24"/>
              </w:rPr>
              <w:t>2</w:t>
            </w:r>
            <w:r>
              <w:rPr>
                <w:sz w:val="24"/>
              </w:rPr>
              <w:t xml:space="preserve"> (.</w:t>
            </w:r>
            <w:r w:rsidR="00CC4E77">
              <w:rPr>
                <w:sz w:val="24"/>
              </w:rPr>
              <w:t>7</w:t>
            </w:r>
            <w:r>
              <w:rPr>
                <w:sz w:val="24"/>
              </w:rPr>
              <w:t xml:space="preserve">) </w:t>
            </w:r>
          </w:p>
        </w:tc>
      </w:tr>
      <w:tr w:rsidR="00831141" w:rsidTr="00527A27">
        <w:tc>
          <w:tcPr>
            <w:tcW w:w="4855" w:type="dxa"/>
          </w:tcPr>
          <w:p w:rsidR="00831141" w:rsidRDefault="00831141" w:rsidP="00D50FCD">
            <w:pPr>
              <w:rPr>
                <w:sz w:val="24"/>
              </w:rPr>
            </w:pPr>
            <w:r>
              <w:rPr>
                <w:sz w:val="24"/>
              </w:rPr>
              <w:t xml:space="preserve">Elective (n=80) </w:t>
            </w:r>
          </w:p>
        </w:tc>
        <w:tc>
          <w:tcPr>
            <w:tcW w:w="1870" w:type="dxa"/>
          </w:tcPr>
          <w:p w:rsidR="00831141" w:rsidRDefault="00527A27" w:rsidP="00CC4E77">
            <w:pPr>
              <w:jc w:val="center"/>
              <w:rPr>
                <w:sz w:val="24"/>
              </w:rPr>
            </w:pPr>
            <w:r>
              <w:rPr>
                <w:sz w:val="24"/>
              </w:rPr>
              <w:t>4.</w:t>
            </w:r>
            <w:r w:rsidR="00CC4E77">
              <w:rPr>
                <w:sz w:val="24"/>
              </w:rPr>
              <w:t>3</w:t>
            </w:r>
            <w:r>
              <w:rPr>
                <w:sz w:val="24"/>
              </w:rPr>
              <w:t xml:space="preserve"> (.</w:t>
            </w:r>
            <w:r w:rsidR="00CC4E77">
              <w:rPr>
                <w:sz w:val="24"/>
              </w:rPr>
              <w:t>7</w:t>
            </w:r>
            <w:r>
              <w:rPr>
                <w:sz w:val="24"/>
              </w:rPr>
              <w:t>)</w:t>
            </w:r>
          </w:p>
        </w:tc>
      </w:tr>
      <w:tr w:rsidR="00831141" w:rsidTr="00527A27">
        <w:tc>
          <w:tcPr>
            <w:tcW w:w="4855" w:type="dxa"/>
          </w:tcPr>
          <w:p w:rsidR="00831141" w:rsidRDefault="00527A27" w:rsidP="00D50FCD">
            <w:pPr>
              <w:rPr>
                <w:sz w:val="24"/>
              </w:rPr>
            </w:pPr>
            <w:r>
              <w:rPr>
                <w:sz w:val="24"/>
              </w:rPr>
              <w:t>Something else (n=64)</w:t>
            </w:r>
          </w:p>
        </w:tc>
        <w:tc>
          <w:tcPr>
            <w:tcW w:w="1870" w:type="dxa"/>
          </w:tcPr>
          <w:p w:rsidR="00831141" w:rsidRDefault="00527A27" w:rsidP="00CC4E77">
            <w:pPr>
              <w:jc w:val="center"/>
              <w:rPr>
                <w:sz w:val="24"/>
              </w:rPr>
            </w:pPr>
            <w:r>
              <w:rPr>
                <w:sz w:val="24"/>
              </w:rPr>
              <w:t>4.</w:t>
            </w:r>
            <w:r w:rsidR="00CC4E77">
              <w:rPr>
                <w:sz w:val="24"/>
              </w:rPr>
              <w:t>6</w:t>
            </w:r>
            <w:r>
              <w:rPr>
                <w:sz w:val="24"/>
              </w:rPr>
              <w:t xml:space="preserve"> (.</w:t>
            </w:r>
            <w:r w:rsidR="00CC4E77">
              <w:rPr>
                <w:sz w:val="24"/>
              </w:rPr>
              <w:t>5</w:t>
            </w:r>
            <w:r>
              <w:rPr>
                <w:sz w:val="24"/>
              </w:rPr>
              <w:t xml:space="preserve">) </w:t>
            </w:r>
          </w:p>
        </w:tc>
      </w:tr>
    </w:tbl>
    <w:p w:rsidR="00831141" w:rsidRDefault="00831141">
      <w:pPr>
        <w:rPr>
          <w:sz w:val="24"/>
        </w:rPr>
      </w:pPr>
    </w:p>
    <w:p w:rsidR="00DB31CB" w:rsidRDefault="00DB31CB">
      <w:pPr>
        <w:rPr>
          <w:sz w:val="24"/>
        </w:rPr>
      </w:pPr>
      <w:r>
        <w:rPr>
          <w:sz w:val="24"/>
        </w:rPr>
        <w:t xml:space="preserve">Student ratings have a small but statistically significant correlation with student report of their own </w:t>
      </w:r>
      <w:r w:rsidRPr="007B4535">
        <w:rPr>
          <w:sz w:val="24"/>
          <w:highlight w:val="yellow"/>
        </w:rPr>
        <w:t>attendance in class (r=.07, p=.001).</w:t>
      </w:r>
      <w:r>
        <w:rPr>
          <w:sz w:val="24"/>
        </w:rPr>
        <w:t xml:space="preserve"> There are stronger (also significant) correlations with </w:t>
      </w:r>
      <w:r w:rsidRPr="007B4535">
        <w:rPr>
          <w:sz w:val="24"/>
          <w:highlight w:val="yellow"/>
        </w:rPr>
        <w:t>anticipated grade (r=.28, p&lt;.0001)</w:t>
      </w:r>
      <w:r>
        <w:rPr>
          <w:sz w:val="24"/>
        </w:rPr>
        <w:t xml:space="preserve"> and perceived </w:t>
      </w:r>
      <w:r w:rsidRPr="007B4535">
        <w:rPr>
          <w:sz w:val="24"/>
          <w:highlight w:val="yellow"/>
        </w:rPr>
        <w:t>difficulty of the class (r=-.22, p&lt;.0001).</w:t>
      </w:r>
      <w:r>
        <w:rPr>
          <w:sz w:val="24"/>
        </w:rPr>
        <w:t xml:space="preserve"> </w:t>
      </w:r>
    </w:p>
    <w:p w:rsidR="00DB31CB" w:rsidRPr="00DB31CB" w:rsidRDefault="00DB31CB">
      <w:pPr>
        <w:rPr>
          <w:sz w:val="24"/>
        </w:rPr>
      </w:pPr>
      <w:r>
        <w:rPr>
          <w:sz w:val="24"/>
        </w:rPr>
        <w:t xml:space="preserve">While these variables are significantly related to student ratings, it </w:t>
      </w:r>
      <w:r w:rsidR="00A62527">
        <w:rPr>
          <w:sz w:val="24"/>
        </w:rPr>
        <w:t xml:space="preserve">is impossible to identify these as independent of the quality of instruction. </w:t>
      </w:r>
    </w:p>
    <w:p w:rsidR="00DB31CB" w:rsidRPr="00831141" w:rsidRDefault="00DB31CB">
      <w:pPr>
        <w:rPr>
          <w:sz w:val="24"/>
        </w:rPr>
      </w:pPr>
    </w:p>
    <w:p w:rsidR="007B4535" w:rsidRDefault="007B4535">
      <w:pPr>
        <w:rPr>
          <w:b/>
          <w:sz w:val="36"/>
        </w:rPr>
      </w:pPr>
      <w:r>
        <w:rPr>
          <w:b/>
          <w:sz w:val="36"/>
        </w:rPr>
        <w:br w:type="page"/>
      </w:r>
    </w:p>
    <w:p w:rsidR="00EE22C4" w:rsidRDefault="00EE22C4">
      <w:pPr>
        <w:rPr>
          <w:sz w:val="24"/>
        </w:rPr>
      </w:pPr>
      <w:r w:rsidRPr="00EE22C4">
        <w:rPr>
          <w:b/>
          <w:sz w:val="36"/>
        </w:rPr>
        <w:t>Recommendations</w:t>
      </w:r>
    </w:p>
    <w:p w:rsidR="00EE22C4" w:rsidRDefault="00EE22C4">
      <w:pPr>
        <w:rPr>
          <w:sz w:val="24"/>
        </w:rPr>
      </w:pPr>
    </w:p>
    <w:p w:rsidR="003B59AD" w:rsidRDefault="003B59AD">
      <w:pPr>
        <w:rPr>
          <w:sz w:val="24"/>
        </w:rPr>
      </w:pPr>
      <w:r>
        <w:rPr>
          <w:sz w:val="24"/>
        </w:rPr>
        <w:t xml:space="preserve">Based on these pilot data, we recommend that: </w:t>
      </w:r>
    </w:p>
    <w:p w:rsidR="003B59AD" w:rsidRDefault="003B59AD" w:rsidP="003B59AD">
      <w:pPr>
        <w:pStyle w:val="ListParagraph"/>
        <w:numPr>
          <w:ilvl w:val="0"/>
          <w:numId w:val="8"/>
        </w:numPr>
        <w:ind w:left="630"/>
        <w:rPr>
          <w:sz w:val="24"/>
        </w:rPr>
      </w:pPr>
      <w:r>
        <w:rPr>
          <w:sz w:val="24"/>
        </w:rPr>
        <w:t>All of the tested items be allowed as options</w:t>
      </w:r>
      <w:r w:rsidR="00FE2924">
        <w:rPr>
          <w:sz w:val="24"/>
        </w:rPr>
        <w:t>.</w:t>
      </w:r>
    </w:p>
    <w:p w:rsidR="003B59AD" w:rsidRDefault="003B59AD" w:rsidP="003B59AD">
      <w:pPr>
        <w:pStyle w:val="ListParagraph"/>
        <w:numPr>
          <w:ilvl w:val="0"/>
          <w:numId w:val="8"/>
        </w:numPr>
        <w:ind w:left="630"/>
        <w:rPr>
          <w:sz w:val="24"/>
        </w:rPr>
      </w:pPr>
      <w:r>
        <w:rPr>
          <w:sz w:val="24"/>
        </w:rPr>
        <w:t xml:space="preserve">Total scores, but not the three subscores, </w:t>
      </w:r>
      <w:r w:rsidR="00FE2924">
        <w:rPr>
          <w:sz w:val="24"/>
        </w:rPr>
        <w:t xml:space="preserve">be used for personnel decisions. </w:t>
      </w:r>
    </w:p>
    <w:p w:rsidR="003B59AD" w:rsidRDefault="003B59AD" w:rsidP="003B59AD">
      <w:pPr>
        <w:pStyle w:val="ListParagraph"/>
        <w:numPr>
          <w:ilvl w:val="0"/>
          <w:numId w:val="8"/>
        </w:numPr>
        <w:ind w:left="630"/>
        <w:rPr>
          <w:sz w:val="24"/>
        </w:rPr>
      </w:pPr>
      <w:r>
        <w:rPr>
          <w:sz w:val="24"/>
        </w:rPr>
        <w:t>Existing probationary plans can be left unaltered, as there are no drastic differences between the new instrument and IDEA that would alter the establishment of departmental standards</w:t>
      </w:r>
      <w:r w:rsidR="00FE2924">
        <w:rPr>
          <w:sz w:val="24"/>
        </w:rPr>
        <w:t xml:space="preserve">. </w:t>
      </w:r>
    </w:p>
    <w:p w:rsidR="003D411E" w:rsidRDefault="003D411E" w:rsidP="003B59AD">
      <w:pPr>
        <w:pStyle w:val="ListParagraph"/>
        <w:numPr>
          <w:ilvl w:val="0"/>
          <w:numId w:val="8"/>
        </w:numPr>
        <w:ind w:left="630"/>
        <w:rPr>
          <w:sz w:val="24"/>
        </w:rPr>
      </w:pPr>
      <w:r>
        <w:rPr>
          <w:sz w:val="24"/>
        </w:rPr>
        <w:t xml:space="preserve">No adjustments based on non-instructional factors are recommended at this time. Once the new instrument is adopted, we will continue to monitor institutional data to continue to explore whether adjustments are justified. </w:t>
      </w:r>
    </w:p>
    <w:p w:rsidR="003D411E" w:rsidRDefault="003D411E" w:rsidP="003B59AD">
      <w:pPr>
        <w:pStyle w:val="ListParagraph"/>
        <w:numPr>
          <w:ilvl w:val="0"/>
          <w:numId w:val="8"/>
        </w:numPr>
        <w:ind w:left="630"/>
        <w:rPr>
          <w:sz w:val="24"/>
        </w:rPr>
      </w:pPr>
      <w:r>
        <w:rPr>
          <w:sz w:val="24"/>
        </w:rPr>
        <w:t xml:space="preserve">Individual departments may consider revising their policies to lower acceptable standards for quantitative courses. </w:t>
      </w:r>
      <w:r w:rsidR="00134CE5">
        <w:rPr>
          <w:sz w:val="24"/>
        </w:rPr>
        <w:t xml:space="preserve">Members of personnel committees and administrators should consider that ratings in quantitative classes are generally lower than in non-quantitative courses. </w:t>
      </w:r>
    </w:p>
    <w:p w:rsidR="00351DD1" w:rsidRDefault="00351DD1" w:rsidP="003B59AD">
      <w:pPr>
        <w:pStyle w:val="ListParagraph"/>
        <w:numPr>
          <w:ilvl w:val="0"/>
          <w:numId w:val="8"/>
        </w:numPr>
        <w:ind w:left="630"/>
        <w:rPr>
          <w:sz w:val="24"/>
        </w:rPr>
      </w:pPr>
      <w:r>
        <w:rPr>
          <w:sz w:val="24"/>
        </w:rPr>
        <w:t>For mid-tenure-cycle faculty….</w:t>
      </w:r>
    </w:p>
    <w:p w:rsidR="00351DD1" w:rsidRDefault="00351DD1" w:rsidP="00351DD1">
      <w:pPr>
        <w:rPr>
          <w:sz w:val="24"/>
        </w:rPr>
      </w:pPr>
    </w:p>
    <w:p w:rsidR="00351DD1" w:rsidRDefault="00351DD1" w:rsidP="00351DD1">
      <w:pPr>
        <w:rPr>
          <w:sz w:val="24"/>
        </w:rPr>
      </w:pPr>
      <w:r>
        <w:rPr>
          <w:sz w:val="24"/>
        </w:rPr>
        <w:t xml:space="preserve">Our review of research related to effective use of student ratings leads us to recommend that: </w:t>
      </w:r>
    </w:p>
    <w:p w:rsidR="00351DD1" w:rsidRDefault="00351DD1" w:rsidP="00351DD1">
      <w:pPr>
        <w:pStyle w:val="ListParagraph"/>
        <w:numPr>
          <w:ilvl w:val="0"/>
          <w:numId w:val="10"/>
        </w:numPr>
        <w:rPr>
          <w:sz w:val="24"/>
        </w:rPr>
      </w:pPr>
      <w:r>
        <w:rPr>
          <w:sz w:val="24"/>
        </w:rPr>
        <w:t>Faculty be encouraged to administer online (as well as paper) questionnaires during protected time in class, as this will help</w:t>
      </w:r>
      <w:r w:rsidR="00134CE5">
        <w:rPr>
          <w:sz w:val="24"/>
        </w:rPr>
        <w:t xml:space="preserve"> maintain high response rates. Online questionnaires should remain open until the final day of classes in order to allow students who were not present in class to complete the questionnaire.  </w:t>
      </w:r>
    </w:p>
    <w:p w:rsidR="00351DD1" w:rsidRDefault="00351DD1" w:rsidP="00351DD1">
      <w:pPr>
        <w:pStyle w:val="ListParagraph"/>
        <w:numPr>
          <w:ilvl w:val="0"/>
          <w:numId w:val="10"/>
        </w:numPr>
        <w:rPr>
          <w:sz w:val="24"/>
        </w:rPr>
      </w:pPr>
      <w:r>
        <w:rPr>
          <w:sz w:val="24"/>
        </w:rPr>
        <w:t xml:space="preserve">Faculty who do not administer online questionnaires during class should be encouraged to monitor response rates in real time in order to offer reminders and encouragement in order to produce a high response rate. </w:t>
      </w:r>
    </w:p>
    <w:p w:rsidR="00351DD1" w:rsidRDefault="00134CE5" w:rsidP="00351DD1">
      <w:pPr>
        <w:pStyle w:val="ListParagraph"/>
        <w:numPr>
          <w:ilvl w:val="0"/>
          <w:numId w:val="10"/>
        </w:numPr>
        <w:rPr>
          <w:sz w:val="24"/>
        </w:rPr>
      </w:pPr>
      <w:r>
        <w:rPr>
          <w:sz w:val="24"/>
        </w:rPr>
        <w:t>D</w:t>
      </w:r>
      <w:r w:rsidR="00351DD1">
        <w:rPr>
          <w:sz w:val="24"/>
        </w:rPr>
        <w:t xml:space="preserve">epartments </w:t>
      </w:r>
      <w:r>
        <w:rPr>
          <w:sz w:val="24"/>
        </w:rPr>
        <w:t xml:space="preserve">should </w:t>
      </w:r>
      <w:r w:rsidR="00351DD1">
        <w:rPr>
          <w:sz w:val="24"/>
        </w:rPr>
        <w:t xml:space="preserve">consider the following </w:t>
      </w:r>
      <w:r>
        <w:rPr>
          <w:sz w:val="24"/>
        </w:rPr>
        <w:t xml:space="preserve">issues </w:t>
      </w:r>
      <w:r w:rsidR="00351DD1">
        <w:rPr>
          <w:sz w:val="24"/>
        </w:rPr>
        <w:t xml:space="preserve">in their department policies: </w:t>
      </w:r>
    </w:p>
    <w:p w:rsidR="00351DD1" w:rsidRDefault="00351DD1" w:rsidP="00351DD1">
      <w:pPr>
        <w:pStyle w:val="ListParagraph"/>
        <w:numPr>
          <w:ilvl w:val="1"/>
          <w:numId w:val="10"/>
        </w:numPr>
        <w:rPr>
          <w:sz w:val="24"/>
        </w:rPr>
      </w:pPr>
      <w:r>
        <w:rPr>
          <w:sz w:val="24"/>
        </w:rPr>
        <w:t xml:space="preserve">Whether faculty will be allowed to choose items without departmental approval (we consider this to be a reasonable allowance, as the items behave similarly). </w:t>
      </w:r>
    </w:p>
    <w:p w:rsidR="00351DD1" w:rsidRDefault="00AA0406" w:rsidP="00351DD1">
      <w:pPr>
        <w:pStyle w:val="ListParagraph"/>
        <w:numPr>
          <w:ilvl w:val="1"/>
          <w:numId w:val="10"/>
        </w:numPr>
        <w:rPr>
          <w:sz w:val="24"/>
        </w:rPr>
      </w:pPr>
      <w:r>
        <w:rPr>
          <w:sz w:val="24"/>
        </w:rPr>
        <w:t>By what date faculty need to make the selection of paper admi</w:t>
      </w:r>
      <w:r w:rsidR="00134CE5">
        <w:rPr>
          <w:sz w:val="24"/>
        </w:rPr>
        <w:t xml:space="preserve">nistration, since the DAA must </w:t>
      </w:r>
      <w:r>
        <w:rPr>
          <w:sz w:val="24"/>
        </w:rPr>
        <w:t xml:space="preserve">print questionnaires at the Print Shop. </w:t>
      </w:r>
    </w:p>
    <w:p w:rsidR="00AA0406" w:rsidRDefault="00134CE5" w:rsidP="00351DD1">
      <w:pPr>
        <w:pStyle w:val="ListParagraph"/>
        <w:numPr>
          <w:ilvl w:val="1"/>
          <w:numId w:val="10"/>
        </w:numPr>
        <w:rPr>
          <w:sz w:val="24"/>
        </w:rPr>
      </w:pPr>
      <w:r>
        <w:rPr>
          <w:sz w:val="24"/>
        </w:rPr>
        <w:t>How to consider class scores wh</w:t>
      </w:r>
      <w:r w:rsidR="00DE316E">
        <w:rPr>
          <w:sz w:val="24"/>
        </w:rPr>
        <w:t xml:space="preserve">en the class size is very small. </w:t>
      </w:r>
      <w:r>
        <w:rPr>
          <w:sz w:val="24"/>
        </w:rPr>
        <w:t xml:space="preserve">We recommend that scores always be reported (in RTP binders) </w:t>
      </w:r>
      <w:r w:rsidR="00DE316E">
        <w:rPr>
          <w:sz w:val="24"/>
        </w:rPr>
        <w:t xml:space="preserve">as the mean plus/minus one standard deviation, and that a score only be considered below target if the entire range is below the target score. This will allow some information to be gleaned from small samples, but it recognizes the uncertainty of scores derived from small samples. </w:t>
      </w:r>
      <w:r w:rsidR="00AA0406">
        <w:rPr>
          <w:sz w:val="24"/>
        </w:rPr>
        <w:t xml:space="preserve"> </w:t>
      </w:r>
    </w:p>
    <w:p w:rsidR="00DE316E" w:rsidRDefault="00DE316E" w:rsidP="00351DD1">
      <w:pPr>
        <w:pStyle w:val="ListParagraph"/>
        <w:numPr>
          <w:ilvl w:val="1"/>
          <w:numId w:val="10"/>
        </w:numPr>
        <w:rPr>
          <w:sz w:val="24"/>
        </w:rPr>
      </w:pPr>
      <w:r>
        <w:rPr>
          <w:sz w:val="24"/>
        </w:rPr>
        <w:t>How to consider scores when the response rate is very low. Research on student ratings suggests that very small classes must have a high response rate in order to be reliable, but low response rates don’t have a big impact on the reliability of most student ratings. A commonly used guideline (</w:t>
      </w:r>
      <w:proofErr w:type="spellStart"/>
      <w:r>
        <w:rPr>
          <w:sz w:val="24"/>
        </w:rPr>
        <w:t>Nulty</w:t>
      </w:r>
      <w:proofErr w:type="spellEnd"/>
      <w:r>
        <w:rPr>
          <w:sz w:val="24"/>
        </w:rPr>
        <w:t xml:space="preserve">, 2008) is presented here: </w:t>
      </w:r>
    </w:p>
    <w:tbl>
      <w:tblPr>
        <w:tblStyle w:val="TableGrid"/>
        <w:tblW w:w="0" w:type="auto"/>
        <w:tblInd w:w="1440" w:type="dxa"/>
        <w:tblLook w:val="04A0" w:firstRow="1" w:lastRow="0" w:firstColumn="1" w:lastColumn="0" w:noHBand="0" w:noVBand="1"/>
      </w:tblPr>
      <w:tblGrid>
        <w:gridCol w:w="1255"/>
        <w:gridCol w:w="2070"/>
      </w:tblGrid>
      <w:tr w:rsidR="00DE316E" w:rsidTr="00DE316E">
        <w:tc>
          <w:tcPr>
            <w:tcW w:w="1255" w:type="dxa"/>
          </w:tcPr>
          <w:p w:rsidR="00DE316E" w:rsidRPr="00DE316E" w:rsidRDefault="00DE316E" w:rsidP="00DE316E">
            <w:pPr>
              <w:jc w:val="center"/>
              <w:rPr>
                <w:sz w:val="24"/>
              </w:rPr>
            </w:pPr>
            <w:r>
              <w:rPr>
                <w:sz w:val="24"/>
              </w:rPr>
              <w:t>Class Size</w:t>
            </w:r>
          </w:p>
        </w:tc>
        <w:tc>
          <w:tcPr>
            <w:tcW w:w="2070" w:type="dxa"/>
          </w:tcPr>
          <w:p w:rsidR="00DE316E" w:rsidRPr="00DE316E" w:rsidRDefault="00DE316E" w:rsidP="00DE316E">
            <w:pPr>
              <w:tabs>
                <w:tab w:val="left" w:pos="1051"/>
              </w:tabs>
              <w:jc w:val="center"/>
              <w:rPr>
                <w:sz w:val="24"/>
              </w:rPr>
            </w:pPr>
            <w:r>
              <w:rPr>
                <w:sz w:val="24"/>
              </w:rPr>
              <w:t>Required Response Rate</w:t>
            </w:r>
          </w:p>
        </w:tc>
      </w:tr>
      <w:tr w:rsidR="00DE316E" w:rsidTr="00DE316E">
        <w:tc>
          <w:tcPr>
            <w:tcW w:w="1255" w:type="dxa"/>
          </w:tcPr>
          <w:p w:rsidR="00DE316E" w:rsidRPr="00DE316E" w:rsidRDefault="00DE316E" w:rsidP="00DE316E">
            <w:pPr>
              <w:jc w:val="center"/>
              <w:rPr>
                <w:sz w:val="24"/>
              </w:rPr>
            </w:pPr>
            <w:r>
              <w:rPr>
                <w:sz w:val="24"/>
              </w:rPr>
              <w:t>10</w:t>
            </w:r>
          </w:p>
        </w:tc>
        <w:tc>
          <w:tcPr>
            <w:tcW w:w="2070" w:type="dxa"/>
          </w:tcPr>
          <w:p w:rsidR="00DE316E" w:rsidRPr="00DE316E" w:rsidRDefault="00DE316E" w:rsidP="00DE316E">
            <w:pPr>
              <w:jc w:val="center"/>
              <w:rPr>
                <w:sz w:val="24"/>
              </w:rPr>
            </w:pPr>
            <w:r>
              <w:rPr>
                <w:sz w:val="24"/>
              </w:rPr>
              <w:t xml:space="preserve">75% </w:t>
            </w:r>
          </w:p>
        </w:tc>
      </w:tr>
      <w:tr w:rsidR="00DE316E" w:rsidTr="00DE316E">
        <w:tc>
          <w:tcPr>
            <w:tcW w:w="1255" w:type="dxa"/>
          </w:tcPr>
          <w:p w:rsidR="00DE316E" w:rsidRPr="00DE316E" w:rsidRDefault="00DE316E" w:rsidP="00DE316E">
            <w:pPr>
              <w:jc w:val="center"/>
              <w:rPr>
                <w:sz w:val="24"/>
              </w:rPr>
            </w:pPr>
            <w:r>
              <w:rPr>
                <w:sz w:val="24"/>
              </w:rPr>
              <w:t>20</w:t>
            </w:r>
          </w:p>
        </w:tc>
        <w:tc>
          <w:tcPr>
            <w:tcW w:w="2070" w:type="dxa"/>
          </w:tcPr>
          <w:p w:rsidR="00DE316E" w:rsidRPr="00DE316E" w:rsidRDefault="00DE316E" w:rsidP="00DE316E">
            <w:pPr>
              <w:jc w:val="center"/>
              <w:rPr>
                <w:sz w:val="24"/>
              </w:rPr>
            </w:pPr>
            <w:r>
              <w:rPr>
                <w:sz w:val="24"/>
              </w:rPr>
              <w:t>58%</w:t>
            </w:r>
          </w:p>
        </w:tc>
      </w:tr>
      <w:tr w:rsidR="00DE316E" w:rsidTr="00DE316E">
        <w:tc>
          <w:tcPr>
            <w:tcW w:w="1255" w:type="dxa"/>
          </w:tcPr>
          <w:p w:rsidR="00DE316E" w:rsidRPr="00DE316E" w:rsidRDefault="00DE316E" w:rsidP="00DE316E">
            <w:pPr>
              <w:jc w:val="center"/>
              <w:rPr>
                <w:sz w:val="24"/>
              </w:rPr>
            </w:pPr>
            <w:r>
              <w:rPr>
                <w:sz w:val="24"/>
              </w:rPr>
              <w:t>30</w:t>
            </w:r>
          </w:p>
        </w:tc>
        <w:tc>
          <w:tcPr>
            <w:tcW w:w="2070" w:type="dxa"/>
          </w:tcPr>
          <w:p w:rsidR="00DE316E" w:rsidRPr="00DE316E" w:rsidRDefault="00DE316E" w:rsidP="00DE316E">
            <w:pPr>
              <w:jc w:val="center"/>
              <w:rPr>
                <w:sz w:val="24"/>
              </w:rPr>
            </w:pPr>
            <w:r>
              <w:rPr>
                <w:sz w:val="24"/>
              </w:rPr>
              <w:t>48%</w:t>
            </w:r>
          </w:p>
        </w:tc>
      </w:tr>
      <w:tr w:rsidR="00DE316E" w:rsidTr="00DE316E">
        <w:tc>
          <w:tcPr>
            <w:tcW w:w="1255" w:type="dxa"/>
          </w:tcPr>
          <w:p w:rsidR="00DE316E" w:rsidRPr="00DE316E" w:rsidRDefault="00DE316E" w:rsidP="00DE316E">
            <w:pPr>
              <w:jc w:val="center"/>
              <w:rPr>
                <w:sz w:val="24"/>
              </w:rPr>
            </w:pPr>
            <w:r>
              <w:rPr>
                <w:sz w:val="24"/>
              </w:rPr>
              <w:t>40</w:t>
            </w:r>
          </w:p>
        </w:tc>
        <w:tc>
          <w:tcPr>
            <w:tcW w:w="2070" w:type="dxa"/>
          </w:tcPr>
          <w:p w:rsidR="00DE316E" w:rsidRPr="00DE316E" w:rsidRDefault="00DE316E" w:rsidP="00DE316E">
            <w:pPr>
              <w:jc w:val="center"/>
              <w:rPr>
                <w:sz w:val="24"/>
              </w:rPr>
            </w:pPr>
            <w:r>
              <w:rPr>
                <w:sz w:val="24"/>
              </w:rPr>
              <w:t>40%</w:t>
            </w:r>
          </w:p>
        </w:tc>
      </w:tr>
      <w:tr w:rsidR="00DE316E" w:rsidTr="00DE316E">
        <w:tc>
          <w:tcPr>
            <w:tcW w:w="1255" w:type="dxa"/>
          </w:tcPr>
          <w:p w:rsidR="00DE316E" w:rsidRPr="00DE316E" w:rsidRDefault="00DE316E" w:rsidP="00DE316E">
            <w:pPr>
              <w:jc w:val="center"/>
              <w:rPr>
                <w:sz w:val="24"/>
              </w:rPr>
            </w:pPr>
            <w:r>
              <w:rPr>
                <w:sz w:val="24"/>
              </w:rPr>
              <w:t>50</w:t>
            </w:r>
          </w:p>
        </w:tc>
        <w:tc>
          <w:tcPr>
            <w:tcW w:w="2070" w:type="dxa"/>
          </w:tcPr>
          <w:p w:rsidR="00DE316E" w:rsidRPr="00DE316E" w:rsidRDefault="00DE316E" w:rsidP="00DE316E">
            <w:pPr>
              <w:jc w:val="center"/>
              <w:rPr>
                <w:sz w:val="24"/>
              </w:rPr>
            </w:pPr>
            <w:r>
              <w:rPr>
                <w:sz w:val="24"/>
              </w:rPr>
              <w:t>35%</w:t>
            </w:r>
          </w:p>
        </w:tc>
      </w:tr>
      <w:tr w:rsidR="00DE316E" w:rsidTr="00DE316E">
        <w:tc>
          <w:tcPr>
            <w:tcW w:w="1255" w:type="dxa"/>
          </w:tcPr>
          <w:p w:rsidR="00DE316E" w:rsidRPr="00DE316E" w:rsidRDefault="00DE316E" w:rsidP="00DE316E">
            <w:pPr>
              <w:jc w:val="center"/>
              <w:rPr>
                <w:sz w:val="24"/>
              </w:rPr>
            </w:pPr>
            <w:r>
              <w:rPr>
                <w:sz w:val="24"/>
              </w:rPr>
              <w:t>60</w:t>
            </w:r>
          </w:p>
        </w:tc>
        <w:tc>
          <w:tcPr>
            <w:tcW w:w="2070" w:type="dxa"/>
          </w:tcPr>
          <w:p w:rsidR="00DE316E" w:rsidRPr="00DE316E" w:rsidRDefault="00DE316E" w:rsidP="00DE316E">
            <w:pPr>
              <w:jc w:val="center"/>
              <w:rPr>
                <w:sz w:val="24"/>
              </w:rPr>
            </w:pPr>
            <w:r>
              <w:rPr>
                <w:sz w:val="24"/>
              </w:rPr>
              <w:t>31%</w:t>
            </w:r>
          </w:p>
        </w:tc>
      </w:tr>
      <w:tr w:rsidR="00DE316E" w:rsidTr="00DE316E">
        <w:tc>
          <w:tcPr>
            <w:tcW w:w="1255" w:type="dxa"/>
          </w:tcPr>
          <w:p w:rsidR="00DE316E" w:rsidRPr="00DE316E" w:rsidRDefault="00DE316E" w:rsidP="00DE316E">
            <w:pPr>
              <w:jc w:val="center"/>
              <w:rPr>
                <w:sz w:val="24"/>
              </w:rPr>
            </w:pPr>
            <w:r>
              <w:rPr>
                <w:sz w:val="24"/>
              </w:rPr>
              <w:t>70</w:t>
            </w:r>
          </w:p>
        </w:tc>
        <w:tc>
          <w:tcPr>
            <w:tcW w:w="2070" w:type="dxa"/>
          </w:tcPr>
          <w:p w:rsidR="00DE316E" w:rsidRPr="00DE316E" w:rsidRDefault="00DE316E" w:rsidP="00DE316E">
            <w:pPr>
              <w:jc w:val="center"/>
              <w:rPr>
                <w:sz w:val="24"/>
              </w:rPr>
            </w:pPr>
            <w:r>
              <w:rPr>
                <w:sz w:val="24"/>
              </w:rPr>
              <w:t>28%</w:t>
            </w:r>
          </w:p>
        </w:tc>
      </w:tr>
      <w:tr w:rsidR="00DE316E" w:rsidTr="00DE316E">
        <w:tc>
          <w:tcPr>
            <w:tcW w:w="1255" w:type="dxa"/>
          </w:tcPr>
          <w:p w:rsidR="00DE316E" w:rsidRPr="00DE316E" w:rsidRDefault="00DE316E" w:rsidP="00DE316E">
            <w:pPr>
              <w:jc w:val="center"/>
              <w:rPr>
                <w:sz w:val="24"/>
              </w:rPr>
            </w:pPr>
            <w:r>
              <w:rPr>
                <w:sz w:val="24"/>
              </w:rPr>
              <w:t>80</w:t>
            </w:r>
          </w:p>
        </w:tc>
        <w:tc>
          <w:tcPr>
            <w:tcW w:w="2070" w:type="dxa"/>
          </w:tcPr>
          <w:p w:rsidR="00DE316E" w:rsidRPr="00DE316E" w:rsidRDefault="00DE316E" w:rsidP="00DE316E">
            <w:pPr>
              <w:jc w:val="center"/>
              <w:rPr>
                <w:sz w:val="24"/>
              </w:rPr>
            </w:pPr>
            <w:r>
              <w:rPr>
                <w:sz w:val="24"/>
              </w:rPr>
              <w:t>25%</w:t>
            </w:r>
          </w:p>
        </w:tc>
      </w:tr>
      <w:tr w:rsidR="00DE316E" w:rsidTr="00DE316E">
        <w:tc>
          <w:tcPr>
            <w:tcW w:w="1255" w:type="dxa"/>
          </w:tcPr>
          <w:p w:rsidR="00DE316E" w:rsidRPr="00DE316E" w:rsidRDefault="00DE316E" w:rsidP="00DE316E">
            <w:pPr>
              <w:jc w:val="center"/>
              <w:rPr>
                <w:sz w:val="24"/>
              </w:rPr>
            </w:pPr>
            <w:r>
              <w:rPr>
                <w:sz w:val="24"/>
              </w:rPr>
              <w:t>90</w:t>
            </w:r>
          </w:p>
        </w:tc>
        <w:tc>
          <w:tcPr>
            <w:tcW w:w="2070" w:type="dxa"/>
          </w:tcPr>
          <w:p w:rsidR="00DE316E" w:rsidRPr="00DE316E" w:rsidRDefault="00DE316E" w:rsidP="00DE316E">
            <w:pPr>
              <w:jc w:val="center"/>
              <w:rPr>
                <w:sz w:val="24"/>
              </w:rPr>
            </w:pPr>
            <w:r>
              <w:rPr>
                <w:sz w:val="24"/>
              </w:rPr>
              <w:t>23%</w:t>
            </w:r>
          </w:p>
        </w:tc>
      </w:tr>
      <w:tr w:rsidR="00DE316E" w:rsidTr="00DE316E">
        <w:tc>
          <w:tcPr>
            <w:tcW w:w="1255" w:type="dxa"/>
          </w:tcPr>
          <w:p w:rsidR="00DE316E" w:rsidRPr="00DE316E" w:rsidRDefault="00DE316E" w:rsidP="00DE316E">
            <w:pPr>
              <w:jc w:val="center"/>
              <w:rPr>
                <w:sz w:val="24"/>
              </w:rPr>
            </w:pPr>
            <w:r>
              <w:rPr>
                <w:sz w:val="24"/>
              </w:rPr>
              <w:t>100</w:t>
            </w:r>
          </w:p>
        </w:tc>
        <w:tc>
          <w:tcPr>
            <w:tcW w:w="2070" w:type="dxa"/>
          </w:tcPr>
          <w:p w:rsidR="00DE316E" w:rsidRPr="00DE316E" w:rsidRDefault="00DE316E" w:rsidP="00DE316E">
            <w:pPr>
              <w:jc w:val="center"/>
              <w:rPr>
                <w:sz w:val="24"/>
              </w:rPr>
            </w:pPr>
            <w:r>
              <w:rPr>
                <w:sz w:val="24"/>
              </w:rPr>
              <w:t>21%</w:t>
            </w:r>
          </w:p>
        </w:tc>
      </w:tr>
    </w:tbl>
    <w:p w:rsidR="00351DD1" w:rsidRDefault="00433060" w:rsidP="00433060">
      <w:pPr>
        <w:pStyle w:val="ListParagraph"/>
        <w:numPr>
          <w:ilvl w:val="0"/>
          <w:numId w:val="11"/>
        </w:numPr>
        <w:rPr>
          <w:sz w:val="24"/>
        </w:rPr>
      </w:pPr>
      <w:r>
        <w:rPr>
          <w:sz w:val="24"/>
        </w:rPr>
        <w:t xml:space="preserve">Instructors should discuss their student rating reports with their chair and/or mentor as part of the process of improving instruction. </w:t>
      </w:r>
    </w:p>
    <w:p w:rsidR="00433060" w:rsidRPr="00433060" w:rsidRDefault="00433060" w:rsidP="00433060">
      <w:pPr>
        <w:pStyle w:val="ListParagraph"/>
        <w:numPr>
          <w:ilvl w:val="0"/>
          <w:numId w:val="11"/>
        </w:numPr>
        <w:rPr>
          <w:sz w:val="24"/>
        </w:rPr>
      </w:pPr>
      <w:r>
        <w:rPr>
          <w:sz w:val="24"/>
        </w:rPr>
        <w:t xml:space="preserve">While we expect the Fresno State SRI scores to be generally similar to IDEA scores, they are not directly comparable as they are different instruments based on two completely different models of how to measure teaching effectiveness. Therefore, as we transition from one system to the other, direct comparisons should be avoided. For those who are mid-tenure cycle, for whom progress is being tracked, we recommend that peer evaluations be used instead of numerical scores on the FSSRI instrument. </w:t>
      </w:r>
    </w:p>
    <w:p w:rsidR="00351DD1" w:rsidRDefault="00351DD1" w:rsidP="00351DD1">
      <w:pPr>
        <w:rPr>
          <w:sz w:val="24"/>
        </w:rPr>
      </w:pPr>
      <w:r>
        <w:rPr>
          <w:sz w:val="24"/>
        </w:rPr>
        <w:t xml:space="preserve">In terms of the future administration of student ratings at Fresno State, we recommend that: </w:t>
      </w:r>
    </w:p>
    <w:p w:rsidR="00351DD1" w:rsidRPr="00CC02E2" w:rsidRDefault="00351DD1" w:rsidP="00CC02E2">
      <w:pPr>
        <w:pStyle w:val="ListParagraph"/>
        <w:numPr>
          <w:ilvl w:val="0"/>
          <w:numId w:val="9"/>
        </w:numPr>
        <w:ind w:left="630"/>
        <w:rPr>
          <w:sz w:val="24"/>
        </w:rPr>
      </w:pPr>
      <w:r>
        <w:rPr>
          <w:sz w:val="24"/>
        </w:rPr>
        <w:t>A permanent committee of the Senate be established to oversee student ratings, one with faculty representation by all eight colleges</w:t>
      </w:r>
      <w:r w:rsidRPr="00351DD1">
        <w:rPr>
          <w:sz w:val="24"/>
        </w:rPr>
        <w:t xml:space="preserve">. </w:t>
      </w:r>
      <w:r w:rsidR="00433060">
        <w:rPr>
          <w:sz w:val="24"/>
        </w:rPr>
        <w:t xml:space="preserve">We suggest that it could be a subcommittee of the Undergraduate Curriculum Committee. </w:t>
      </w:r>
      <w:r w:rsidR="00CC02E2">
        <w:rPr>
          <w:sz w:val="24"/>
        </w:rPr>
        <w:t xml:space="preserve">The chair of that committee should have expertise in research on assessment of pedagogy, and/or scale construction, and/or statistics. The committee should strive to have all three areas of expertise represented. </w:t>
      </w:r>
    </w:p>
    <w:p w:rsidR="00351DD1" w:rsidRDefault="00351DD1" w:rsidP="00AA0406">
      <w:pPr>
        <w:pStyle w:val="ListParagraph"/>
        <w:numPr>
          <w:ilvl w:val="0"/>
          <w:numId w:val="9"/>
        </w:numPr>
        <w:ind w:left="630"/>
        <w:rPr>
          <w:sz w:val="24"/>
        </w:rPr>
      </w:pPr>
      <w:r w:rsidRPr="00351DD1">
        <w:rPr>
          <w:sz w:val="24"/>
        </w:rPr>
        <w:t>That committee will regularly t</w:t>
      </w:r>
      <w:r w:rsidR="00CC02E2">
        <w:rPr>
          <w:sz w:val="24"/>
        </w:rPr>
        <w:t>est</w:t>
      </w:r>
      <w:r w:rsidRPr="00351DD1">
        <w:rPr>
          <w:sz w:val="24"/>
        </w:rPr>
        <w:t xml:space="preserve"> revisions to the existing instrument. Revisions can be suggested by </w:t>
      </w:r>
      <w:r w:rsidR="00CC02E2">
        <w:rPr>
          <w:sz w:val="24"/>
        </w:rPr>
        <w:t xml:space="preserve">any interested member of the Fresno State academic community. The committee will decide whether or not the suggestion merits testing. Testing will consist of the new items being offered in conjunction with existing items for one review cycle so that the new item can be compared in terms of reliability and validity. The committee will make recommendations based on these tests, and changes must be approved by the Senate and the Provost. </w:t>
      </w:r>
    </w:p>
    <w:p w:rsidR="00351DD1" w:rsidRDefault="00351DD1" w:rsidP="00AA0406">
      <w:pPr>
        <w:pStyle w:val="ListParagraph"/>
        <w:numPr>
          <w:ilvl w:val="0"/>
          <w:numId w:val="9"/>
        </w:numPr>
        <w:ind w:left="630"/>
        <w:rPr>
          <w:sz w:val="24"/>
        </w:rPr>
      </w:pPr>
      <w:r>
        <w:rPr>
          <w:sz w:val="24"/>
        </w:rPr>
        <w:t xml:space="preserve">The committee will regularly conduct descriptive analyses of student ratings data to explore areas where Fresno State faculty that could benefit from interventions provided by the Center for Faculty Excellence. </w:t>
      </w:r>
    </w:p>
    <w:p w:rsidR="00E36C35" w:rsidRPr="00351DD1" w:rsidRDefault="00E36C35" w:rsidP="00351DD1">
      <w:pPr>
        <w:pStyle w:val="ListParagraph"/>
        <w:numPr>
          <w:ilvl w:val="1"/>
          <w:numId w:val="9"/>
        </w:numPr>
        <w:ind w:left="1800"/>
        <w:rPr>
          <w:sz w:val="24"/>
        </w:rPr>
      </w:pPr>
      <w:r w:rsidRPr="00351DD1">
        <w:rPr>
          <w:sz w:val="24"/>
        </w:rPr>
        <w:br w:type="page"/>
      </w:r>
    </w:p>
    <w:p w:rsidR="00EE22C4" w:rsidRDefault="00E36C35" w:rsidP="00947BC7">
      <w:pPr>
        <w:jc w:val="center"/>
        <w:rPr>
          <w:sz w:val="32"/>
        </w:rPr>
      </w:pPr>
      <w:r>
        <w:rPr>
          <w:sz w:val="32"/>
          <w:u w:val="single"/>
        </w:rPr>
        <w:t>References</w:t>
      </w:r>
    </w:p>
    <w:p w:rsidR="002E53BE" w:rsidRPr="002E53BE" w:rsidRDefault="002E53BE" w:rsidP="002E53BE">
      <w:pPr>
        <w:tabs>
          <w:tab w:val="right" w:pos="12345"/>
        </w:tabs>
        <w:ind w:left="720" w:hanging="720"/>
        <w:rPr>
          <w:rFonts w:ascii="Times New Roman" w:hAnsi="Times New Roman"/>
        </w:rPr>
      </w:pPr>
      <w:proofErr w:type="spellStart"/>
      <w:r w:rsidRPr="002E53BE">
        <w:rPr>
          <w:rFonts w:ascii="Times New Roman" w:hAnsi="Times New Roman"/>
        </w:rPr>
        <w:t>Atir</w:t>
      </w:r>
      <w:proofErr w:type="spellEnd"/>
      <w:r w:rsidRPr="002E53BE">
        <w:rPr>
          <w:rFonts w:ascii="Times New Roman" w:hAnsi="Times New Roman"/>
        </w:rPr>
        <w:t xml:space="preserve">, S., </w:t>
      </w:r>
      <w:proofErr w:type="spellStart"/>
      <w:r w:rsidRPr="002E53BE">
        <w:rPr>
          <w:rFonts w:ascii="Times New Roman" w:hAnsi="Times New Roman"/>
        </w:rPr>
        <w:t>Rosenzweig</w:t>
      </w:r>
      <w:proofErr w:type="spellEnd"/>
      <w:r w:rsidRPr="002E53BE">
        <w:rPr>
          <w:rFonts w:ascii="Times New Roman" w:hAnsi="Times New Roman"/>
        </w:rPr>
        <w:t xml:space="preserve">, E., &amp; Dunning, D. (2015). When knowledge knows no bounds: Self-perceived expertise predicts claims of impossible knowledge. Psychological Science, 26, 8, 1295-1303. </w:t>
      </w:r>
      <w:r w:rsidRPr="006762C9">
        <w:rPr>
          <w:rFonts w:ascii="Arial" w:hAnsi="Arial" w:cs="Arial"/>
          <w:color w:val="666666"/>
          <w:szCs w:val="26"/>
          <w:shd w:val="clear" w:color="auto" w:fill="FFFFFF"/>
        </w:rPr>
        <w:t> </w:t>
      </w:r>
      <w:proofErr w:type="gramStart"/>
      <w:r w:rsidRPr="006762C9">
        <w:rPr>
          <w:rFonts w:ascii="Arial" w:hAnsi="Arial" w:cs="Arial"/>
          <w:color w:val="666666"/>
          <w:szCs w:val="26"/>
          <w:shd w:val="clear" w:color="auto" w:fill="FFFFFF"/>
        </w:rPr>
        <w:t>doi</w:t>
      </w:r>
      <w:proofErr w:type="gramEnd"/>
      <w:r w:rsidRPr="006762C9">
        <w:rPr>
          <w:rFonts w:ascii="Arial" w:hAnsi="Arial" w:cs="Arial"/>
          <w:color w:val="666666"/>
          <w:szCs w:val="26"/>
          <w:shd w:val="clear" w:color="auto" w:fill="FFFFFF"/>
        </w:rPr>
        <w:t>:</w:t>
      </w:r>
      <w:hyperlink r:id="rId9" w:history="1">
        <w:r w:rsidRPr="006762C9">
          <w:rPr>
            <w:rStyle w:val="Hyperlink"/>
            <w:rFonts w:ascii="Arial" w:hAnsi="Arial" w:cs="Arial"/>
            <w:color w:val="0D76BB"/>
            <w:szCs w:val="26"/>
            <w:bdr w:val="none" w:sz="0" w:space="0" w:color="auto" w:frame="1"/>
            <w:shd w:val="clear" w:color="auto" w:fill="FFFFFF"/>
          </w:rPr>
          <w:t>10.1177/0956797615588195</w:t>
        </w:r>
      </w:hyperlink>
    </w:p>
    <w:p w:rsidR="00B14F1C" w:rsidRPr="002E53BE" w:rsidRDefault="00B14F1C" w:rsidP="002E53BE">
      <w:pPr>
        <w:tabs>
          <w:tab w:val="right" w:pos="12345"/>
        </w:tabs>
        <w:ind w:left="720" w:hanging="720"/>
        <w:rPr>
          <w:rFonts w:ascii="Times New Roman" w:hAnsi="Times New Roman"/>
        </w:rPr>
      </w:pPr>
      <w:proofErr w:type="spellStart"/>
      <w:r w:rsidRPr="002E53BE">
        <w:rPr>
          <w:rFonts w:ascii="Times New Roman" w:hAnsi="Times New Roman"/>
        </w:rPr>
        <w:t>Beran</w:t>
      </w:r>
      <w:proofErr w:type="spellEnd"/>
      <w:r w:rsidRPr="002E53BE">
        <w:rPr>
          <w:rFonts w:ascii="Times New Roman" w:hAnsi="Times New Roman"/>
        </w:rPr>
        <w:t xml:space="preserve">, T. &amp; </w:t>
      </w:r>
      <w:proofErr w:type="spellStart"/>
      <w:r w:rsidRPr="002E53BE">
        <w:rPr>
          <w:rFonts w:ascii="Times New Roman" w:hAnsi="Times New Roman"/>
        </w:rPr>
        <w:t>Violato</w:t>
      </w:r>
      <w:proofErr w:type="spellEnd"/>
      <w:r w:rsidRPr="002E53BE">
        <w:rPr>
          <w:rFonts w:ascii="Times New Roman" w:hAnsi="Times New Roman"/>
        </w:rPr>
        <w:t xml:space="preserve">, C. (2005). Ratings of university teacher instruction: How much do student and course characteristics really matter? Assessment and Evaluation in Higher Education; 30:6, 593-601. </w:t>
      </w:r>
    </w:p>
    <w:p w:rsidR="00C51D4A" w:rsidRPr="00C51D4A" w:rsidRDefault="00C51D4A" w:rsidP="002E53BE">
      <w:pPr>
        <w:tabs>
          <w:tab w:val="right" w:pos="12345"/>
        </w:tabs>
        <w:ind w:left="720" w:hanging="720"/>
        <w:rPr>
          <w:rFonts w:ascii="Times New Roman" w:hAnsi="Times New Roman"/>
        </w:rPr>
      </w:pPr>
      <w:r>
        <w:rPr>
          <w:rFonts w:ascii="Times New Roman" w:hAnsi="Times New Roman"/>
        </w:rPr>
        <w:t xml:space="preserve">Cortina, J.M. (1993). What is a coefficient alpha? An examination of theory and application. </w:t>
      </w:r>
      <w:r>
        <w:rPr>
          <w:rFonts w:ascii="Times New Roman" w:hAnsi="Times New Roman"/>
          <w:i/>
        </w:rPr>
        <w:t xml:space="preserve">Journal of applied psychology, 78, 1, </w:t>
      </w:r>
      <w:r>
        <w:rPr>
          <w:rFonts w:ascii="Times New Roman" w:hAnsi="Times New Roman"/>
        </w:rPr>
        <w:t xml:space="preserve">98. </w:t>
      </w:r>
    </w:p>
    <w:p w:rsidR="00FE4DC5" w:rsidRPr="002E53BE" w:rsidRDefault="00FE4DC5" w:rsidP="002E53BE">
      <w:pPr>
        <w:tabs>
          <w:tab w:val="right" w:pos="12345"/>
        </w:tabs>
        <w:ind w:left="720" w:hanging="720"/>
        <w:rPr>
          <w:rFonts w:ascii="Times New Roman" w:hAnsi="Times New Roman"/>
        </w:rPr>
      </w:pPr>
      <w:proofErr w:type="spellStart"/>
      <w:r w:rsidRPr="002E53BE">
        <w:rPr>
          <w:rFonts w:ascii="Times New Roman" w:hAnsi="Times New Roman"/>
        </w:rPr>
        <w:t>Kardas</w:t>
      </w:r>
      <w:proofErr w:type="spellEnd"/>
      <w:r w:rsidRPr="002E53BE">
        <w:rPr>
          <w:rFonts w:ascii="Times New Roman" w:hAnsi="Times New Roman"/>
        </w:rPr>
        <w:t>, M. &amp; O’Brien, E. (2018). Easier seen than done: Merely watching</w:t>
      </w:r>
      <w:r w:rsidR="0083269D">
        <w:rPr>
          <w:rFonts w:ascii="Times New Roman" w:hAnsi="Times New Roman"/>
        </w:rPr>
        <w:t xml:space="preserve"> </w:t>
      </w:r>
      <w:r w:rsidRPr="002E53BE">
        <w:rPr>
          <w:rFonts w:ascii="Times New Roman" w:hAnsi="Times New Roman"/>
        </w:rPr>
        <w:t xml:space="preserve">others perform can foster an illusion of skill acquisition. Psychological Science, 29, 4, 521-536. </w:t>
      </w:r>
      <w:proofErr w:type="gramStart"/>
      <w:r w:rsidR="002E53BE" w:rsidRPr="006762C9">
        <w:rPr>
          <w:rFonts w:ascii="Arial" w:hAnsi="Arial" w:cs="Arial"/>
          <w:color w:val="666666"/>
          <w:szCs w:val="26"/>
          <w:shd w:val="clear" w:color="auto" w:fill="FFFFFF"/>
        </w:rPr>
        <w:t>doi</w:t>
      </w:r>
      <w:proofErr w:type="gramEnd"/>
      <w:r w:rsidR="002E53BE" w:rsidRPr="006762C9">
        <w:rPr>
          <w:rFonts w:ascii="Arial" w:hAnsi="Arial" w:cs="Arial"/>
          <w:color w:val="666666"/>
          <w:szCs w:val="26"/>
          <w:shd w:val="clear" w:color="auto" w:fill="FFFFFF"/>
        </w:rPr>
        <w:t>:</w:t>
      </w:r>
      <w:hyperlink r:id="rId10" w:history="1">
        <w:r w:rsidR="002E53BE" w:rsidRPr="006762C9">
          <w:rPr>
            <w:rStyle w:val="Hyperlink"/>
            <w:rFonts w:ascii="Arial" w:hAnsi="Arial" w:cs="Arial"/>
            <w:color w:val="0D76BB"/>
            <w:szCs w:val="26"/>
            <w:bdr w:val="none" w:sz="0" w:space="0" w:color="auto" w:frame="1"/>
            <w:shd w:val="clear" w:color="auto" w:fill="FFFFFF"/>
          </w:rPr>
          <w:t>10.1177/0956797617740646</w:t>
        </w:r>
      </w:hyperlink>
      <w:r w:rsidR="002E53BE" w:rsidRPr="006762C9">
        <w:rPr>
          <w:sz w:val="18"/>
        </w:rPr>
        <w:t xml:space="preserve"> </w:t>
      </w:r>
    </w:p>
    <w:p w:rsidR="002E53BE" w:rsidRPr="00035AE3" w:rsidRDefault="002E53BE" w:rsidP="002E53BE">
      <w:pPr>
        <w:tabs>
          <w:tab w:val="right" w:pos="12345"/>
        </w:tabs>
        <w:ind w:left="720" w:hanging="720"/>
        <w:rPr>
          <w:rFonts w:ascii="Times New Roman" w:hAnsi="Times New Roman"/>
        </w:rPr>
      </w:pPr>
      <w:r>
        <w:rPr>
          <w:rFonts w:ascii="Times New Roman" w:hAnsi="Times New Roman"/>
        </w:rPr>
        <w:t xml:space="preserve">Kruger, J. &amp; Dunning, D. (1999). Unskilled and unaware of it: How difficulties in recognizing one’s own incompetence lead to inflated self-assessments. </w:t>
      </w:r>
      <w:r>
        <w:rPr>
          <w:rFonts w:ascii="Times New Roman" w:hAnsi="Times New Roman"/>
          <w:i/>
        </w:rPr>
        <w:t xml:space="preserve">Journal of Personality and Social Psychology, 77, 6, </w:t>
      </w:r>
      <w:r>
        <w:rPr>
          <w:rFonts w:ascii="Times New Roman" w:hAnsi="Times New Roman"/>
        </w:rPr>
        <w:t xml:space="preserve">1121-1134. </w:t>
      </w:r>
    </w:p>
    <w:p w:rsidR="0083269D" w:rsidRPr="0083269D" w:rsidRDefault="0083269D" w:rsidP="002E53BE">
      <w:pPr>
        <w:tabs>
          <w:tab w:val="right" w:pos="12345"/>
        </w:tabs>
        <w:ind w:left="720" w:hanging="720"/>
        <w:rPr>
          <w:rFonts w:ascii="Times New Roman" w:hAnsi="Times New Roman"/>
        </w:rPr>
      </w:pPr>
      <w:proofErr w:type="spellStart"/>
      <w:r>
        <w:rPr>
          <w:rFonts w:ascii="Times New Roman" w:hAnsi="Times New Roman"/>
        </w:rPr>
        <w:t>MacNell</w:t>
      </w:r>
      <w:proofErr w:type="spellEnd"/>
      <w:r>
        <w:rPr>
          <w:rFonts w:ascii="Times New Roman" w:hAnsi="Times New Roman"/>
        </w:rPr>
        <w:t xml:space="preserve">, L, Driscoll, A. &amp; Hunt, A.N. (2014). What in a name: Exposing gender bias in student ratings of teaching. </w:t>
      </w:r>
      <w:r>
        <w:rPr>
          <w:rFonts w:ascii="Times New Roman" w:hAnsi="Times New Roman"/>
          <w:i/>
        </w:rPr>
        <w:t xml:space="preserve">Innovative Higher Education, 40, 4, </w:t>
      </w:r>
      <w:r>
        <w:rPr>
          <w:rFonts w:ascii="Times New Roman" w:hAnsi="Times New Roman"/>
        </w:rPr>
        <w:t xml:space="preserve">291-303. </w:t>
      </w:r>
    </w:p>
    <w:p w:rsidR="00DE316E" w:rsidRDefault="00DE316E" w:rsidP="002E53BE">
      <w:pPr>
        <w:tabs>
          <w:tab w:val="right" w:pos="12345"/>
        </w:tabs>
        <w:ind w:left="720" w:hanging="720"/>
        <w:rPr>
          <w:rFonts w:ascii="Times New Roman" w:hAnsi="Times New Roman"/>
        </w:rPr>
      </w:pPr>
      <w:proofErr w:type="spellStart"/>
      <w:r>
        <w:rPr>
          <w:rFonts w:ascii="Times New Roman" w:hAnsi="Times New Roman"/>
        </w:rPr>
        <w:t>Nulty</w:t>
      </w:r>
      <w:proofErr w:type="spellEnd"/>
      <w:r>
        <w:rPr>
          <w:rFonts w:ascii="Times New Roman" w:hAnsi="Times New Roman"/>
        </w:rPr>
        <w:t xml:space="preserve">, D.D. </w:t>
      </w:r>
      <w:r w:rsidR="00151259">
        <w:rPr>
          <w:rFonts w:ascii="Times New Roman" w:hAnsi="Times New Roman"/>
        </w:rPr>
        <w:t xml:space="preserve">(2008). The adequacy of response rates to online and paper surveys: What can be done?” </w:t>
      </w:r>
      <w:r w:rsidR="00151259" w:rsidRPr="00151259">
        <w:rPr>
          <w:rFonts w:ascii="Times New Roman" w:hAnsi="Times New Roman"/>
          <w:i/>
        </w:rPr>
        <w:t xml:space="preserve">Assessment &amp; </w:t>
      </w:r>
      <w:proofErr w:type="spellStart"/>
      <w:r w:rsidR="00151259" w:rsidRPr="00151259">
        <w:rPr>
          <w:rFonts w:ascii="Times New Roman" w:hAnsi="Times New Roman"/>
          <w:i/>
        </w:rPr>
        <w:t>Evaulation</w:t>
      </w:r>
      <w:proofErr w:type="spellEnd"/>
      <w:r w:rsidR="00151259" w:rsidRPr="00151259">
        <w:rPr>
          <w:rFonts w:ascii="Times New Roman" w:hAnsi="Times New Roman"/>
          <w:i/>
        </w:rPr>
        <w:t xml:space="preserve"> in Higher Education, 33, 3</w:t>
      </w:r>
      <w:r w:rsidR="00151259">
        <w:rPr>
          <w:rFonts w:ascii="Times New Roman" w:hAnsi="Times New Roman"/>
        </w:rPr>
        <w:t xml:space="preserve">: 301-314. </w:t>
      </w:r>
    </w:p>
    <w:p w:rsidR="006762C9" w:rsidRDefault="006762C9" w:rsidP="002E53BE">
      <w:pPr>
        <w:tabs>
          <w:tab w:val="right" w:pos="12345"/>
        </w:tabs>
        <w:ind w:left="720" w:hanging="720"/>
        <w:rPr>
          <w:rFonts w:ascii="Times New Roman" w:hAnsi="Times New Roman"/>
        </w:rPr>
      </w:pPr>
      <w:proofErr w:type="spellStart"/>
      <w:r>
        <w:rPr>
          <w:rFonts w:ascii="Times New Roman" w:hAnsi="Times New Roman"/>
        </w:rPr>
        <w:t>Svenson</w:t>
      </w:r>
      <w:proofErr w:type="spellEnd"/>
      <w:r>
        <w:rPr>
          <w:rFonts w:ascii="Times New Roman" w:hAnsi="Times New Roman"/>
        </w:rPr>
        <w:t xml:space="preserve">, O. (1981). Are we all less risky and more skillful than our fellow drivers? </w:t>
      </w:r>
      <w:proofErr w:type="spellStart"/>
      <w:r w:rsidRPr="006762C9">
        <w:rPr>
          <w:rFonts w:ascii="Times New Roman" w:hAnsi="Times New Roman"/>
          <w:i/>
        </w:rPr>
        <w:t>Acta</w:t>
      </w:r>
      <w:proofErr w:type="spellEnd"/>
      <w:r w:rsidRPr="006762C9">
        <w:rPr>
          <w:rFonts w:ascii="Times New Roman" w:hAnsi="Times New Roman"/>
          <w:i/>
        </w:rPr>
        <w:t xml:space="preserve"> </w:t>
      </w:r>
      <w:proofErr w:type="spellStart"/>
      <w:r w:rsidRPr="006762C9">
        <w:rPr>
          <w:rFonts w:ascii="Times New Roman" w:hAnsi="Times New Roman"/>
          <w:i/>
        </w:rPr>
        <w:t>Psychologica</w:t>
      </w:r>
      <w:proofErr w:type="spellEnd"/>
      <w:r w:rsidRPr="006762C9">
        <w:rPr>
          <w:rFonts w:ascii="Times New Roman" w:hAnsi="Times New Roman"/>
          <w:i/>
        </w:rPr>
        <w:t>, 47, 2,</w:t>
      </w:r>
      <w:r>
        <w:rPr>
          <w:rFonts w:ascii="Times New Roman" w:hAnsi="Times New Roman"/>
        </w:rPr>
        <w:t xml:space="preserve"> 143-148. </w:t>
      </w:r>
      <w:proofErr w:type="spellStart"/>
      <w:proofErr w:type="gramStart"/>
      <w:r>
        <w:rPr>
          <w:rFonts w:ascii="Times New Roman" w:hAnsi="Times New Roman"/>
        </w:rPr>
        <w:t>doi</w:t>
      </w:r>
      <w:proofErr w:type="spellEnd"/>
      <w:proofErr w:type="gramEnd"/>
      <w:r>
        <w:rPr>
          <w:rFonts w:ascii="Times New Roman" w:hAnsi="Times New Roman"/>
        </w:rPr>
        <w:t xml:space="preserve">: 10.1016/0001-6918(81)90005-6.  </w:t>
      </w:r>
    </w:p>
    <w:p w:rsidR="00E36C35" w:rsidRPr="002E53BE" w:rsidRDefault="00E36C35" w:rsidP="002E53BE">
      <w:pPr>
        <w:tabs>
          <w:tab w:val="right" w:pos="12345"/>
        </w:tabs>
        <w:ind w:left="720" w:hanging="720"/>
        <w:rPr>
          <w:rFonts w:ascii="Times New Roman" w:hAnsi="Times New Roman"/>
        </w:rPr>
      </w:pPr>
      <w:proofErr w:type="spellStart"/>
      <w:r w:rsidRPr="002E53BE">
        <w:rPr>
          <w:rFonts w:ascii="Times New Roman" w:hAnsi="Times New Roman"/>
        </w:rPr>
        <w:t>Uttl</w:t>
      </w:r>
      <w:proofErr w:type="spellEnd"/>
      <w:r w:rsidRPr="002E53BE">
        <w:rPr>
          <w:rFonts w:ascii="Times New Roman" w:hAnsi="Times New Roman"/>
        </w:rPr>
        <w:t xml:space="preserve">, B. &amp; Smibert, D. (2017). Student evaluations of teaching: teaching quantitative courses can be hazardous to one’s career. Peer J </w:t>
      </w:r>
      <w:proofErr w:type="gramStart"/>
      <w:r w:rsidRPr="002E53BE">
        <w:rPr>
          <w:rFonts w:ascii="Times New Roman" w:hAnsi="Times New Roman"/>
        </w:rPr>
        <w:t xml:space="preserve">5:e3299  </w:t>
      </w:r>
      <w:proofErr w:type="gramEnd"/>
      <w:r w:rsidR="00C6282D">
        <w:fldChar w:fldCharType="begin"/>
      </w:r>
      <w:r w:rsidR="00C6282D">
        <w:instrText xml:space="preserve"> HYPERLINK "https://doi.org/10.7717/peerj.3299" </w:instrText>
      </w:r>
      <w:r w:rsidR="00C6282D">
        <w:fldChar w:fldCharType="separate"/>
      </w:r>
      <w:r w:rsidRPr="002E53BE">
        <w:rPr>
          <w:rFonts w:ascii="Times New Roman" w:hAnsi="Times New Roman"/>
        </w:rPr>
        <w:t>https://doi.org/10.7717/peerj.3299</w:t>
      </w:r>
      <w:r w:rsidR="00C6282D">
        <w:rPr>
          <w:rFonts w:ascii="Times New Roman" w:hAnsi="Times New Roman"/>
        </w:rPr>
        <w:fldChar w:fldCharType="end"/>
      </w:r>
      <w:r w:rsidRPr="002E53BE">
        <w:rPr>
          <w:rFonts w:ascii="Times New Roman" w:hAnsi="Times New Roman"/>
        </w:rPr>
        <w:t xml:space="preserve"> </w:t>
      </w:r>
    </w:p>
    <w:p w:rsidR="00695A39" w:rsidRPr="002E53BE" w:rsidRDefault="00695A39" w:rsidP="002E53BE">
      <w:pPr>
        <w:tabs>
          <w:tab w:val="right" w:pos="12345"/>
        </w:tabs>
        <w:ind w:left="720" w:hanging="720"/>
        <w:rPr>
          <w:rFonts w:ascii="Times New Roman" w:hAnsi="Times New Roman"/>
        </w:rPr>
      </w:pPr>
      <w:r w:rsidRPr="002E53BE">
        <w:rPr>
          <w:rFonts w:ascii="Times New Roman" w:hAnsi="Times New Roman"/>
        </w:rPr>
        <w:t xml:space="preserve">Walter, E.M., Henderson, C.R., Beach, A.L., &amp; Williams, C.T. (2016). Introducing the Postsecondary Instructional Practices Survey (PIPS): A concise, interdisciplinary, and easy-to-score survey. CBE Life </w:t>
      </w:r>
      <w:proofErr w:type="spellStart"/>
      <w:r w:rsidRPr="002E53BE">
        <w:rPr>
          <w:rFonts w:ascii="Times New Roman" w:hAnsi="Times New Roman"/>
        </w:rPr>
        <w:t>Sci</w:t>
      </w:r>
      <w:proofErr w:type="spellEnd"/>
      <w:r w:rsidRPr="002E53BE">
        <w:rPr>
          <w:rFonts w:ascii="Times New Roman" w:hAnsi="Times New Roman"/>
        </w:rPr>
        <w:t xml:space="preserve"> </w:t>
      </w:r>
      <w:proofErr w:type="spellStart"/>
      <w:r w:rsidRPr="002E53BE">
        <w:rPr>
          <w:rFonts w:ascii="Times New Roman" w:hAnsi="Times New Roman"/>
        </w:rPr>
        <w:t>Educ</w:t>
      </w:r>
      <w:proofErr w:type="spellEnd"/>
      <w:r w:rsidRPr="002E53BE">
        <w:rPr>
          <w:rFonts w:ascii="Times New Roman" w:hAnsi="Times New Roman"/>
        </w:rPr>
        <w:t xml:space="preserve">, December 1, 2016, </w:t>
      </w:r>
      <w:proofErr w:type="gramStart"/>
      <w:r w:rsidRPr="002E53BE">
        <w:rPr>
          <w:rFonts w:ascii="Times New Roman" w:hAnsi="Times New Roman"/>
        </w:rPr>
        <w:t>15:ar53  DOI:10.1187</w:t>
      </w:r>
      <w:proofErr w:type="gramEnd"/>
      <w:r w:rsidRPr="002E53BE">
        <w:rPr>
          <w:rFonts w:ascii="Times New Roman" w:hAnsi="Times New Roman"/>
        </w:rPr>
        <w:t>/cbe.15-09-0193</w:t>
      </w:r>
    </w:p>
    <w:p w:rsidR="00E36C35" w:rsidRPr="002E53BE" w:rsidRDefault="00E36C35" w:rsidP="002E53BE">
      <w:pPr>
        <w:tabs>
          <w:tab w:val="right" w:pos="12345"/>
        </w:tabs>
        <w:ind w:left="720" w:hanging="720"/>
        <w:rPr>
          <w:rFonts w:ascii="Times New Roman" w:hAnsi="Times New Roman"/>
        </w:rPr>
      </w:pPr>
    </w:p>
    <w:p w:rsidR="00695A39" w:rsidRDefault="00695A39">
      <w:pPr>
        <w:rPr>
          <w:sz w:val="24"/>
        </w:rPr>
      </w:pPr>
    </w:p>
    <w:p w:rsidR="00695A39" w:rsidRDefault="00695A39">
      <w:pPr>
        <w:rPr>
          <w:sz w:val="24"/>
        </w:rPr>
      </w:pPr>
    </w:p>
    <w:p w:rsidR="00695A39" w:rsidRDefault="00695A39">
      <w:pPr>
        <w:rPr>
          <w:sz w:val="24"/>
        </w:rPr>
      </w:pPr>
    </w:p>
    <w:p w:rsidR="00E36C35" w:rsidRPr="00E36C35" w:rsidRDefault="00E36C35">
      <w:pPr>
        <w:rPr>
          <w:i/>
          <w:sz w:val="24"/>
        </w:rPr>
      </w:pPr>
      <w:r>
        <w:rPr>
          <w:i/>
          <w:sz w:val="24"/>
        </w:rPr>
        <w:t xml:space="preserve"> </w:t>
      </w:r>
    </w:p>
    <w:p w:rsidR="00EE22C4" w:rsidRDefault="00EE22C4">
      <w:pPr>
        <w:rPr>
          <w:sz w:val="24"/>
        </w:rPr>
      </w:pPr>
    </w:p>
    <w:p w:rsidR="00EE22C4" w:rsidRPr="00EE22C4" w:rsidRDefault="00EE22C4">
      <w:pPr>
        <w:rPr>
          <w:sz w:val="24"/>
        </w:rPr>
      </w:pPr>
    </w:p>
    <w:sectPr w:rsidR="00EE22C4" w:rsidRPr="00EE22C4" w:rsidSect="00B84F0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9A" w:rsidRDefault="004C149A" w:rsidP="001F6499">
      <w:pPr>
        <w:spacing w:after="0" w:line="240" w:lineRule="auto"/>
      </w:pPr>
      <w:r>
        <w:separator/>
      </w:r>
    </w:p>
  </w:endnote>
  <w:endnote w:type="continuationSeparator" w:id="0">
    <w:p w:rsidR="004C149A" w:rsidRDefault="004C149A" w:rsidP="001F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D2" w:rsidRDefault="00381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D2" w:rsidRDefault="00381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D2" w:rsidRDefault="00381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9A" w:rsidRDefault="004C149A" w:rsidP="001F6499">
      <w:pPr>
        <w:spacing w:after="0" w:line="240" w:lineRule="auto"/>
      </w:pPr>
      <w:r>
        <w:separator/>
      </w:r>
    </w:p>
  </w:footnote>
  <w:footnote w:type="continuationSeparator" w:id="0">
    <w:p w:rsidR="004C149A" w:rsidRDefault="004C149A" w:rsidP="001F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D2" w:rsidRDefault="00381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D2" w:rsidRDefault="0038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D2" w:rsidRDefault="00381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5EBE"/>
    <w:multiLevelType w:val="hybridMultilevel"/>
    <w:tmpl w:val="EC2C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46A0C"/>
    <w:multiLevelType w:val="hybridMultilevel"/>
    <w:tmpl w:val="433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B52"/>
    <w:multiLevelType w:val="hybridMultilevel"/>
    <w:tmpl w:val="1654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410"/>
    <w:multiLevelType w:val="hybridMultilevel"/>
    <w:tmpl w:val="0622952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432434F"/>
    <w:multiLevelType w:val="hybridMultilevel"/>
    <w:tmpl w:val="E548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F2195"/>
    <w:multiLevelType w:val="hybridMultilevel"/>
    <w:tmpl w:val="12EA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566D2"/>
    <w:multiLevelType w:val="hybridMultilevel"/>
    <w:tmpl w:val="B906A3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CA70AC4"/>
    <w:multiLevelType w:val="hybridMultilevel"/>
    <w:tmpl w:val="47A03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B17F4"/>
    <w:multiLevelType w:val="hybridMultilevel"/>
    <w:tmpl w:val="2A2C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B1537"/>
    <w:multiLevelType w:val="hybridMultilevel"/>
    <w:tmpl w:val="274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E1B19"/>
    <w:multiLevelType w:val="hybridMultilevel"/>
    <w:tmpl w:val="73BC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8"/>
  </w:num>
  <w:num w:numId="7">
    <w:abstractNumId w:val="9"/>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9D"/>
    <w:rsid w:val="000164B4"/>
    <w:rsid w:val="0011585D"/>
    <w:rsid w:val="00120545"/>
    <w:rsid w:val="0012133E"/>
    <w:rsid w:val="00134CE5"/>
    <w:rsid w:val="00151259"/>
    <w:rsid w:val="0017632F"/>
    <w:rsid w:val="001866A3"/>
    <w:rsid w:val="001F6499"/>
    <w:rsid w:val="00213457"/>
    <w:rsid w:val="002A6290"/>
    <w:rsid w:val="002E53BE"/>
    <w:rsid w:val="002E7ED2"/>
    <w:rsid w:val="002F1615"/>
    <w:rsid w:val="00302ED0"/>
    <w:rsid w:val="00305D56"/>
    <w:rsid w:val="00334371"/>
    <w:rsid w:val="00351DD1"/>
    <w:rsid w:val="00375620"/>
    <w:rsid w:val="0037612C"/>
    <w:rsid w:val="003810D2"/>
    <w:rsid w:val="00387FE1"/>
    <w:rsid w:val="003A490A"/>
    <w:rsid w:val="003A4DED"/>
    <w:rsid w:val="003B59AD"/>
    <w:rsid w:val="003C4356"/>
    <w:rsid w:val="003D1805"/>
    <w:rsid w:val="003D411E"/>
    <w:rsid w:val="003F3B68"/>
    <w:rsid w:val="0042164C"/>
    <w:rsid w:val="00433060"/>
    <w:rsid w:val="00485F6A"/>
    <w:rsid w:val="004A5142"/>
    <w:rsid w:val="004C149A"/>
    <w:rsid w:val="004D65B3"/>
    <w:rsid w:val="00515297"/>
    <w:rsid w:val="00527A27"/>
    <w:rsid w:val="005508A4"/>
    <w:rsid w:val="00597F3B"/>
    <w:rsid w:val="00610164"/>
    <w:rsid w:val="00612C46"/>
    <w:rsid w:val="0061333C"/>
    <w:rsid w:val="00651073"/>
    <w:rsid w:val="00656022"/>
    <w:rsid w:val="006762C9"/>
    <w:rsid w:val="00695A39"/>
    <w:rsid w:val="006E75BC"/>
    <w:rsid w:val="006F188D"/>
    <w:rsid w:val="00700FE8"/>
    <w:rsid w:val="00795D1A"/>
    <w:rsid w:val="007B4535"/>
    <w:rsid w:val="007C757A"/>
    <w:rsid w:val="007F4CB6"/>
    <w:rsid w:val="0080710A"/>
    <w:rsid w:val="00821B75"/>
    <w:rsid w:val="0082602C"/>
    <w:rsid w:val="00831141"/>
    <w:rsid w:val="0083269D"/>
    <w:rsid w:val="00846329"/>
    <w:rsid w:val="00860828"/>
    <w:rsid w:val="00861753"/>
    <w:rsid w:val="00863442"/>
    <w:rsid w:val="00865284"/>
    <w:rsid w:val="00877E31"/>
    <w:rsid w:val="00883EF3"/>
    <w:rsid w:val="008A3ACB"/>
    <w:rsid w:val="008B17D1"/>
    <w:rsid w:val="008B6D06"/>
    <w:rsid w:val="008D216A"/>
    <w:rsid w:val="008E1EB0"/>
    <w:rsid w:val="008E279D"/>
    <w:rsid w:val="008E4D77"/>
    <w:rsid w:val="00911B2E"/>
    <w:rsid w:val="00943240"/>
    <w:rsid w:val="00947BC7"/>
    <w:rsid w:val="00966A56"/>
    <w:rsid w:val="009C6523"/>
    <w:rsid w:val="009E531D"/>
    <w:rsid w:val="00A350EB"/>
    <w:rsid w:val="00A62527"/>
    <w:rsid w:val="00A96D7A"/>
    <w:rsid w:val="00AA0406"/>
    <w:rsid w:val="00AF0A12"/>
    <w:rsid w:val="00B14F1C"/>
    <w:rsid w:val="00B2139D"/>
    <w:rsid w:val="00B4108A"/>
    <w:rsid w:val="00B44FA9"/>
    <w:rsid w:val="00B540C6"/>
    <w:rsid w:val="00B84F0F"/>
    <w:rsid w:val="00B93BBD"/>
    <w:rsid w:val="00BD1F89"/>
    <w:rsid w:val="00C01C52"/>
    <w:rsid w:val="00C435F2"/>
    <w:rsid w:val="00C4424E"/>
    <w:rsid w:val="00C51D4A"/>
    <w:rsid w:val="00C5752C"/>
    <w:rsid w:val="00C626CF"/>
    <w:rsid w:val="00C6282D"/>
    <w:rsid w:val="00C949CB"/>
    <w:rsid w:val="00C95C75"/>
    <w:rsid w:val="00CA18F6"/>
    <w:rsid w:val="00CB0235"/>
    <w:rsid w:val="00CC02E2"/>
    <w:rsid w:val="00CC4E77"/>
    <w:rsid w:val="00D108FF"/>
    <w:rsid w:val="00D40373"/>
    <w:rsid w:val="00D406E4"/>
    <w:rsid w:val="00D50FCD"/>
    <w:rsid w:val="00DB31CB"/>
    <w:rsid w:val="00DD62A2"/>
    <w:rsid w:val="00DE316E"/>
    <w:rsid w:val="00E14E37"/>
    <w:rsid w:val="00E36C35"/>
    <w:rsid w:val="00E96389"/>
    <w:rsid w:val="00EA2EE1"/>
    <w:rsid w:val="00EB5342"/>
    <w:rsid w:val="00ED11CF"/>
    <w:rsid w:val="00EE22C4"/>
    <w:rsid w:val="00EF3C60"/>
    <w:rsid w:val="00F205C8"/>
    <w:rsid w:val="00F971DB"/>
    <w:rsid w:val="00FB1A35"/>
    <w:rsid w:val="00FC77F5"/>
    <w:rsid w:val="00FE2924"/>
    <w:rsid w:val="00FE4DC5"/>
    <w:rsid w:val="00FF30AC"/>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74007E-C49D-4D25-A004-E57707C2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79D"/>
    <w:pPr>
      <w:ind w:left="720"/>
      <w:contextualSpacing/>
    </w:pPr>
  </w:style>
  <w:style w:type="table" w:styleId="TableGrid">
    <w:name w:val="Table Grid"/>
    <w:basedOn w:val="TableNormal"/>
    <w:uiPriority w:val="39"/>
    <w:rsid w:val="0082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99"/>
  </w:style>
  <w:style w:type="paragraph" w:styleId="Footer">
    <w:name w:val="footer"/>
    <w:basedOn w:val="Normal"/>
    <w:link w:val="FooterChar"/>
    <w:uiPriority w:val="99"/>
    <w:unhideWhenUsed/>
    <w:rsid w:val="001F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99"/>
  </w:style>
  <w:style w:type="character" w:styleId="Hyperlink">
    <w:name w:val="Hyperlink"/>
    <w:basedOn w:val="DefaultParagraphFont"/>
    <w:uiPriority w:val="99"/>
    <w:unhideWhenUsed/>
    <w:rsid w:val="00E36C35"/>
    <w:rPr>
      <w:color w:val="0563C1" w:themeColor="hyperlink"/>
      <w:u w:val="single"/>
    </w:rPr>
  </w:style>
  <w:style w:type="paragraph" w:styleId="BalloonText">
    <w:name w:val="Balloon Text"/>
    <w:basedOn w:val="Normal"/>
    <w:link w:val="BalloonTextChar"/>
    <w:uiPriority w:val="99"/>
    <w:semiHidden/>
    <w:unhideWhenUsed/>
    <w:rsid w:val="00B1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177/0956797617740646" TargetMode="External"/><Relationship Id="rId4" Type="http://schemas.openxmlformats.org/officeDocument/2006/relationships/webSettings" Target="webSettings.xml"/><Relationship Id="rId9" Type="http://schemas.openxmlformats.org/officeDocument/2006/relationships/hyperlink" Target="http://journals.sagepub.com/doi/10.1177/0956797615588195"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dyer\Box%20Sync\Research\Student%20Ratings%20of%20Instruction\Data\IDEA%20v%20FSSR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FSSRI score</a:t>
            </a:r>
            <a:r>
              <a:rPr lang="en-US" baseline="0"/>
              <a:t> minus </a:t>
            </a:r>
            <a:r>
              <a:rPr lang="en-US"/>
              <a:t>IDEA score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Sheet2!$F$95:$F$107</c:f>
              <c:numCache>
                <c:formatCode>General</c:formatCode>
                <c:ptCount val="13"/>
                <c:pt idx="0">
                  <c:v>1.2</c:v>
                </c:pt>
                <c:pt idx="1">
                  <c:v>1</c:v>
                </c:pt>
                <c:pt idx="2">
                  <c:v>0.8</c:v>
                </c:pt>
                <c:pt idx="3">
                  <c:v>0.6</c:v>
                </c:pt>
                <c:pt idx="4">
                  <c:v>0.4</c:v>
                </c:pt>
                <c:pt idx="5">
                  <c:v>0.2</c:v>
                </c:pt>
                <c:pt idx="6">
                  <c:v>0</c:v>
                </c:pt>
                <c:pt idx="7">
                  <c:v>-0.2</c:v>
                </c:pt>
                <c:pt idx="8">
                  <c:v>-0.4</c:v>
                </c:pt>
                <c:pt idx="9">
                  <c:v>-0.6</c:v>
                </c:pt>
                <c:pt idx="10">
                  <c:v>-0.8</c:v>
                </c:pt>
                <c:pt idx="11">
                  <c:v>-1</c:v>
                </c:pt>
                <c:pt idx="12">
                  <c:v>-1.2</c:v>
                </c:pt>
              </c:numCache>
            </c:numRef>
          </c:cat>
          <c:val>
            <c:numRef>
              <c:f>Sheet2!$G$95:$G$107</c:f>
              <c:numCache>
                <c:formatCode>General</c:formatCode>
                <c:ptCount val="13"/>
                <c:pt idx="0">
                  <c:v>1</c:v>
                </c:pt>
                <c:pt idx="1">
                  <c:v>1</c:v>
                </c:pt>
                <c:pt idx="2">
                  <c:v>0</c:v>
                </c:pt>
                <c:pt idx="3">
                  <c:v>2</c:v>
                </c:pt>
                <c:pt idx="4">
                  <c:v>2</c:v>
                </c:pt>
                <c:pt idx="5">
                  <c:v>11</c:v>
                </c:pt>
                <c:pt idx="6">
                  <c:v>24</c:v>
                </c:pt>
                <c:pt idx="7">
                  <c:v>21</c:v>
                </c:pt>
                <c:pt idx="8">
                  <c:v>4</c:v>
                </c:pt>
                <c:pt idx="9">
                  <c:v>1</c:v>
                </c:pt>
                <c:pt idx="10">
                  <c:v>0</c:v>
                </c:pt>
                <c:pt idx="11">
                  <c:v>0</c:v>
                </c:pt>
                <c:pt idx="12">
                  <c:v>0</c:v>
                </c:pt>
              </c:numCache>
            </c:numRef>
          </c:val>
          <c:extLst>
            <c:ext xmlns:c16="http://schemas.microsoft.com/office/drawing/2014/chart" uri="{C3380CC4-5D6E-409C-BE32-E72D297353CC}">
              <c16:uniqueId val="{00000000-5899-4520-A73B-045DEDB3A2DC}"/>
            </c:ext>
          </c:extLst>
        </c:ser>
        <c:dLbls>
          <c:showLegendKey val="0"/>
          <c:showVal val="0"/>
          <c:showCatName val="0"/>
          <c:showSerName val="0"/>
          <c:showPercent val="0"/>
          <c:showBubbleSize val="0"/>
        </c:dLbls>
        <c:gapWidth val="60"/>
        <c:overlap val="-12"/>
        <c:axId val="2122770303"/>
        <c:axId val="2122776959"/>
      </c:barChart>
      <c:catAx>
        <c:axId val="2122770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776959"/>
        <c:crosses val="autoZero"/>
        <c:auto val="1"/>
        <c:lblAlgn val="ctr"/>
        <c:lblOffset val="100"/>
        <c:noMultiLvlLbl val="0"/>
      </c:catAx>
      <c:valAx>
        <c:axId val="2122776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770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Venita Baker</cp:lastModifiedBy>
  <cp:revision>2</cp:revision>
  <cp:lastPrinted>2019-09-06T18:53:00Z</cp:lastPrinted>
  <dcterms:created xsi:type="dcterms:W3CDTF">2019-09-09T15:21:00Z</dcterms:created>
  <dcterms:modified xsi:type="dcterms:W3CDTF">2019-09-09T15:21:00Z</dcterms:modified>
</cp:coreProperties>
</file>