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D33F" w14:textId="273C4B05" w:rsidR="00BB5DE5" w:rsidRDefault="00024EAC" w:rsidP="00BB5DE5">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GE Area A3: Critical Thinking</w:t>
      </w:r>
      <w:r w:rsidR="00BB5DE5">
        <w:rPr>
          <w:rFonts w:ascii="Times New Roman" w:hAnsi="Times New Roman" w:cs="Times New Roman"/>
          <w:b/>
          <w:sz w:val="32"/>
          <w:szCs w:val="32"/>
        </w:rPr>
        <w:t xml:space="preserve"> </w:t>
      </w:r>
    </w:p>
    <w:p w14:paraId="05BBECDC" w14:textId="77777777" w:rsidR="00BB5DE5" w:rsidRDefault="00BB5DE5" w:rsidP="00BB5DE5">
      <w:pPr>
        <w:jc w:val="center"/>
        <w:rPr>
          <w:rFonts w:ascii="Times New Roman" w:hAnsi="Times New Roman" w:cs="Times New Roman"/>
          <w:b/>
          <w:sz w:val="32"/>
          <w:szCs w:val="32"/>
        </w:rPr>
      </w:pPr>
      <w:r>
        <w:rPr>
          <w:rFonts w:ascii="Times New Roman" w:hAnsi="Times New Roman" w:cs="Times New Roman"/>
          <w:b/>
          <w:sz w:val="32"/>
          <w:szCs w:val="32"/>
        </w:rPr>
        <w:t>SLO Evaluation Report May 2019</w:t>
      </w:r>
    </w:p>
    <w:p w14:paraId="157A66A7" w14:textId="77777777" w:rsidR="00BB5DE5" w:rsidRDefault="00BB5DE5" w:rsidP="00BB5DE5">
      <w:pPr>
        <w:rPr>
          <w:rFonts w:ascii="Times New Roman" w:hAnsi="Times New Roman" w:cs="Times New Roman"/>
          <w:sz w:val="24"/>
          <w:szCs w:val="24"/>
        </w:rPr>
      </w:pPr>
    </w:p>
    <w:p w14:paraId="13C0C706" w14:textId="77777777" w:rsidR="00BB5DE5" w:rsidRDefault="00BB5DE5" w:rsidP="00BB5DE5">
      <w:pPr>
        <w:rPr>
          <w:rFonts w:ascii="Times New Roman" w:hAnsi="Times New Roman" w:cs="Times New Roman"/>
          <w:b/>
          <w:sz w:val="28"/>
          <w:szCs w:val="28"/>
        </w:rPr>
      </w:pPr>
      <w:r>
        <w:rPr>
          <w:rFonts w:ascii="Times New Roman" w:hAnsi="Times New Roman" w:cs="Times New Roman"/>
          <w:b/>
          <w:sz w:val="28"/>
          <w:szCs w:val="28"/>
        </w:rPr>
        <w:t xml:space="preserve">Background/Description of GE Program </w:t>
      </w:r>
      <w:proofErr w:type="spellStart"/>
      <w:r>
        <w:rPr>
          <w:rFonts w:ascii="Times New Roman" w:hAnsi="Times New Roman" w:cs="Times New Roman"/>
          <w:b/>
          <w:sz w:val="28"/>
          <w:szCs w:val="28"/>
        </w:rPr>
        <w:t>ePortfolio</w:t>
      </w:r>
      <w:proofErr w:type="spellEnd"/>
      <w:r>
        <w:rPr>
          <w:rFonts w:ascii="Times New Roman" w:hAnsi="Times New Roman" w:cs="Times New Roman"/>
          <w:b/>
          <w:sz w:val="28"/>
          <w:szCs w:val="28"/>
        </w:rPr>
        <w:t>:</w:t>
      </w:r>
    </w:p>
    <w:p w14:paraId="3D2730DF" w14:textId="77777777" w:rsidR="0073710B" w:rsidRDefault="0073710B" w:rsidP="0073710B">
      <w:pPr>
        <w:rPr>
          <w:rFonts w:ascii="Times New Roman" w:hAnsi="Times New Roman" w:cs="Times New Roman"/>
          <w:sz w:val="24"/>
          <w:szCs w:val="24"/>
        </w:rPr>
      </w:pPr>
      <w:r>
        <w:rPr>
          <w:rFonts w:ascii="Times New Roman" w:hAnsi="Times New Roman" w:cs="Times New Roman"/>
          <w:sz w:val="24"/>
          <w:szCs w:val="24"/>
        </w:rPr>
        <w:t>Prior to the 2017-2018 AY</w:t>
      </w:r>
      <w:r w:rsidRPr="002D3DEB">
        <w:rPr>
          <w:rFonts w:ascii="Times New Roman" w:hAnsi="Times New Roman" w:cs="Times New Roman"/>
          <w:sz w:val="24"/>
          <w:szCs w:val="24"/>
        </w:rPr>
        <w:t>, departments</w:t>
      </w:r>
      <w:r>
        <w:rPr>
          <w:rFonts w:ascii="Times New Roman" w:hAnsi="Times New Roman" w:cs="Times New Roman"/>
          <w:sz w:val="24"/>
          <w:szCs w:val="24"/>
        </w:rPr>
        <w:t>/programs were responsible for assessing</w:t>
      </w:r>
      <w:r w:rsidRPr="002D3DEB">
        <w:rPr>
          <w:rFonts w:ascii="Times New Roman" w:hAnsi="Times New Roman" w:cs="Times New Roman"/>
          <w:sz w:val="24"/>
          <w:szCs w:val="24"/>
        </w:rPr>
        <w:t xml:space="preserve"> GE student learning outcomes </w:t>
      </w:r>
      <w:r>
        <w:rPr>
          <w:rFonts w:ascii="Times New Roman" w:hAnsi="Times New Roman" w:cs="Times New Roman"/>
          <w:sz w:val="24"/>
          <w:szCs w:val="24"/>
        </w:rPr>
        <w:t>and submitting a report every year for the GE Committee to review. This system had several weaknesses. Departments and programs were responsible for deciding which of the two to four outcomes designated for a specific GE Area to assess; thus some outcomes were evaluated multiple times within a year and others were not evaluated at all in certain years. I</w:t>
      </w:r>
      <w:r w:rsidRPr="002D3DEB">
        <w:rPr>
          <w:rFonts w:ascii="Times New Roman" w:hAnsi="Times New Roman" w:cs="Times New Roman"/>
          <w:sz w:val="24"/>
          <w:szCs w:val="24"/>
        </w:rPr>
        <w:t xml:space="preserve">t was </w:t>
      </w:r>
      <w:r>
        <w:rPr>
          <w:rFonts w:ascii="Times New Roman" w:hAnsi="Times New Roman" w:cs="Times New Roman"/>
          <w:sz w:val="24"/>
          <w:szCs w:val="24"/>
        </w:rPr>
        <w:t>also not possible for department</w:t>
      </w:r>
      <w:r w:rsidRPr="002D3DEB">
        <w:rPr>
          <w:rFonts w:ascii="Times New Roman" w:hAnsi="Times New Roman" w:cs="Times New Roman"/>
          <w:sz w:val="24"/>
          <w:szCs w:val="24"/>
        </w:rPr>
        <w:t>s to access and evaluate a representative sample of student work</w:t>
      </w:r>
      <w:r>
        <w:rPr>
          <w:rFonts w:ascii="Times New Roman" w:hAnsi="Times New Roman" w:cs="Times New Roman"/>
          <w:sz w:val="24"/>
          <w:szCs w:val="24"/>
        </w:rPr>
        <w:t>,</w:t>
      </w:r>
      <w:r w:rsidRPr="002D3DEB">
        <w:rPr>
          <w:rFonts w:ascii="Times New Roman" w:hAnsi="Times New Roman" w:cs="Times New Roman"/>
          <w:sz w:val="24"/>
          <w:szCs w:val="24"/>
        </w:rPr>
        <w:t xml:space="preserve"> nor was it possible to compare the results from GE courses in the same GE Area taught by different departments/programs</w:t>
      </w:r>
      <w:r>
        <w:rPr>
          <w:rFonts w:ascii="Times New Roman" w:hAnsi="Times New Roman" w:cs="Times New Roman"/>
          <w:sz w:val="24"/>
          <w:szCs w:val="24"/>
        </w:rPr>
        <w:t>,</w:t>
      </w:r>
      <w:r w:rsidRPr="002D3DEB">
        <w:rPr>
          <w:rFonts w:ascii="Times New Roman" w:hAnsi="Times New Roman" w:cs="Times New Roman"/>
          <w:sz w:val="24"/>
          <w:szCs w:val="24"/>
        </w:rPr>
        <w:t xml:space="preserve"> because each department/program used its own crite</w:t>
      </w:r>
      <w:r>
        <w:rPr>
          <w:rFonts w:ascii="Times New Roman" w:hAnsi="Times New Roman" w:cs="Times New Roman"/>
          <w:sz w:val="24"/>
          <w:szCs w:val="24"/>
        </w:rPr>
        <w:t>ria/rubrics. Finally, the GE Committee was not able to review and analyze the GE assessment reports in a comprehensive fashion, since the committee was also tasked with reviewing all GE curriculum proposals, as well as with discussing and updating GE policies and procedures.</w:t>
      </w:r>
    </w:p>
    <w:p w14:paraId="5724CD0A" w14:textId="2D1E8D60" w:rsidR="001E4586" w:rsidRDefault="001E4586" w:rsidP="001E4586">
      <w:pPr>
        <w:rPr>
          <w:rFonts w:ascii="Times New Roman" w:hAnsi="Times New Roman" w:cs="Times New Roman"/>
          <w:sz w:val="24"/>
          <w:szCs w:val="24"/>
        </w:rPr>
      </w:pPr>
      <w:r>
        <w:rPr>
          <w:rFonts w:ascii="Times New Roman" w:hAnsi="Times New Roman" w:cs="Times New Roman"/>
          <w:sz w:val="24"/>
          <w:szCs w:val="24"/>
        </w:rPr>
        <w:t>Therefore, Fresno State developed</w:t>
      </w:r>
      <w:r w:rsidRPr="002D3DEB">
        <w:rPr>
          <w:rFonts w:ascii="Times New Roman" w:hAnsi="Times New Roman" w:cs="Times New Roman"/>
          <w:sz w:val="24"/>
          <w:szCs w:val="24"/>
        </w:rPr>
        <w:t xml:space="preserve"> a </w:t>
      </w:r>
      <w:r>
        <w:rPr>
          <w:rFonts w:ascii="Times New Roman" w:hAnsi="Times New Roman" w:cs="Times New Roman"/>
          <w:sz w:val="24"/>
          <w:szCs w:val="24"/>
        </w:rPr>
        <w:t xml:space="preserve">proposal for a </w:t>
      </w:r>
      <w:r w:rsidRPr="002D3DEB">
        <w:rPr>
          <w:rFonts w:ascii="Times New Roman" w:hAnsi="Times New Roman" w:cs="Times New Roman"/>
          <w:sz w:val="24"/>
          <w:szCs w:val="24"/>
        </w:rPr>
        <w:t xml:space="preserve">new system of evaluating </w:t>
      </w:r>
      <w:r>
        <w:rPr>
          <w:rFonts w:ascii="Times New Roman" w:hAnsi="Times New Roman" w:cs="Times New Roman"/>
          <w:sz w:val="24"/>
          <w:szCs w:val="24"/>
        </w:rPr>
        <w:t xml:space="preserve">GE student learning outcomes during the 2014-2015 AY. The proposal was approved by Fresno State’s Academic Senate in May 2017 and by </w:t>
      </w:r>
      <w:r w:rsidRPr="002D3DEB">
        <w:rPr>
          <w:rFonts w:ascii="Times New Roman" w:hAnsi="Times New Roman" w:cs="Times New Roman"/>
          <w:sz w:val="24"/>
          <w:szCs w:val="24"/>
        </w:rPr>
        <w:t>Dr.</w:t>
      </w:r>
      <w:r>
        <w:rPr>
          <w:rFonts w:ascii="Times New Roman" w:hAnsi="Times New Roman" w:cs="Times New Roman"/>
          <w:sz w:val="24"/>
          <w:szCs w:val="24"/>
        </w:rPr>
        <w:t xml:space="preserve"> Joseph Castro in August of 2017</w:t>
      </w:r>
      <w:r w:rsidRPr="002D3DEB">
        <w:rPr>
          <w:rFonts w:ascii="Times New Roman" w:hAnsi="Times New Roman" w:cs="Times New Roman"/>
          <w:sz w:val="24"/>
          <w:szCs w:val="24"/>
        </w:rPr>
        <w:t xml:space="preserve">. </w:t>
      </w:r>
      <w:r>
        <w:rPr>
          <w:rFonts w:ascii="Times New Roman" w:hAnsi="Times New Roman" w:cs="Times New Roman"/>
          <w:sz w:val="24"/>
          <w:szCs w:val="24"/>
        </w:rPr>
        <w:t>Essentially, all freshmen and transfer students admitted to Fresno St</w:t>
      </w:r>
      <w:r w:rsidR="00A70F92">
        <w:rPr>
          <w:rFonts w:ascii="Times New Roman" w:hAnsi="Times New Roman" w:cs="Times New Roman"/>
          <w:sz w:val="24"/>
          <w:szCs w:val="24"/>
        </w:rPr>
        <w:t xml:space="preserve">ate beginning in Fall 2018, </w:t>
      </w:r>
      <w:r>
        <w:rPr>
          <w:rFonts w:ascii="Times New Roman" w:hAnsi="Times New Roman" w:cs="Times New Roman"/>
          <w:sz w:val="24"/>
          <w:szCs w:val="24"/>
        </w:rPr>
        <w:t xml:space="preserve">submit one designated assignment aligned to one GE student outcome from lower-division (for freshmen) and upper-division (for freshmen and transfer students) GE courses to a GE Program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Students will also write 300-word reflections (freshmen write three and transfer students write one) about their learning and submit these to the GE Program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The GE Program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was set up by the Director of Assessment and students were automatically enrolled. Handouts, videos, and other resources that were posted previously to Blackboard were uploaded to Canvas when the campus transitioned from Blackboard to Canvas.</w:t>
      </w:r>
    </w:p>
    <w:p w14:paraId="240FA9BF" w14:textId="77777777" w:rsidR="00585547" w:rsidRPr="002D3DEB" w:rsidRDefault="00585547" w:rsidP="00585547">
      <w:pPr>
        <w:rPr>
          <w:rFonts w:ascii="Times New Roman" w:hAnsi="Times New Roman" w:cs="Times New Roman"/>
          <w:sz w:val="24"/>
          <w:szCs w:val="24"/>
        </w:rPr>
      </w:pPr>
      <w:r>
        <w:rPr>
          <w:rFonts w:ascii="Times New Roman" w:hAnsi="Times New Roman" w:cs="Times New Roman"/>
          <w:sz w:val="24"/>
          <w:szCs w:val="24"/>
        </w:rPr>
        <w:t>During the first year of implementation (2017-2018 AY), efforts</w:t>
      </w:r>
      <w:r w:rsidRPr="002D3DEB">
        <w:rPr>
          <w:rFonts w:ascii="Times New Roman" w:hAnsi="Times New Roman" w:cs="Times New Roman"/>
          <w:sz w:val="24"/>
          <w:szCs w:val="24"/>
        </w:rPr>
        <w:t xml:space="preserve"> </w:t>
      </w:r>
      <w:r>
        <w:rPr>
          <w:rFonts w:ascii="Times New Roman" w:hAnsi="Times New Roman" w:cs="Times New Roman"/>
          <w:sz w:val="24"/>
          <w:szCs w:val="24"/>
        </w:rPr>
        <w:t>focused on electing members to the new GE Assessment Subc</w:t>
      </w:r>
      <w:r w:rsidRPr="002D3DEB">
        <w:rPr>
          <w:rFonts w:ascii="Times New Roman" w:hAnsi="Times New Roman" w:cs="Times New Roman"/>
          <w:sz w:val="24"/>
          <w:szCs w:val="24"/>
        </w:rPr>
        <w:t>ommittee and on approving common rubrics to be used to evaluate GE student learning outcomes.</w:t>
      </w:r>
      <w:r>
        <w:rPr>
          <w:rFonts w:ascii="Times New Roman" w:hAnsi="Times New Roman" w:cs="Times New Roman"/>
          <w:sz w:val="24"/>
          <w:szCs w:val="24"/>
        </w:rPr>
        <w:t xml:space="preserve"> Fresno State’s GE student learning outcomes were approved by the Academic Senate in 2010. These are the forty outcomes that will be evaluated on a five-year schedule. Beginning in the 2018-2019 AY, a team consisting of the Director of Assessment, the ten faculty members serving on the GE Assessment Committee, and the student representative selected a random sample of student submissions for all ten outcomes in GE Areas A1, A2, and A3, then evaluated these submissions to determine proficiency in the GE student learning outcomes for GE Area A. </w:t>
      </w:r>
    </w:p>
    <w:p w14:paraId="7CF1F95E" w14:textId="460DDFEB" w:rsidR="00BB5DE5" w:rsidRDefault="00BC3D43" w:rsidP="00BB5DE5">
      <w:pPr>
        <w:rPr>
          <w:rFonts w:ascii="Times New Roman" w:hAnsi="Times New Roman" w:cs="Times New Roman"/>
          <w:b/>
          <w:sz w:val="28"/>
          <w:szCs w:val="28"/>
        </w:rPr>
      </w:pPr>
      <w:r>
        <w:rPr>
          <w:rFonts w:ascii="Times New Roman" w:hAnsi="Times New Roman" w:cs="Times New Roman"/>
          <w:b/>
          <w:sz w:val="28"/>
          <w:szCs w:val="28"/>
        </w:rPr>
        <w:t>GE Assessment Subc</w:t>
      </w:r>
      <w:r w:rsidR="00BB5DE5">
        <w:rPr>
          <w:rFonts w:ascii="Times New Roman" w:hAnsi="Times New Roman" w:cs="Times New Roman"/>
          <w:b/>
          <w:sz w:val="28"/>
          <w:szCs w:val="28"/>
        </w:rPr>
        <w:t>ommittee: Evaluation and Norming Process:</w:t>
      </w:r>
    </w:p>
    <w:p w14:paraId="1228B543" w14:textId="40D84539" w:rsidR="000D34F9" w:rsidRPr="00310EC7" w:rsidRDefault="00A13E28" w:rsidP="00310EC7">
      <w:pPr>
        <w:rPr>
          <w:rFonts w:ascii="Times New Roman" w:hAnsi="Times New Roman" w:cs="Times New Roman"/>
          <w:sz w:val="24"/>
          <w:szCs w:val="24"/>
        </w:rPr>
      </w:pPr>
      <w:r>
        <w:rPr>
          <w:rFonts w:ascii="Times New Roman" w:hAnsi="Times New Roman" w:cs="Times New Roman"/>
          <w:sz w:val="24"/>
          <w:szCs w:val="24"/>
        </w:rPr>
        <w:t xml:space="preserve">The GE Assessment Subcommittee had previously reviewed and approved common rubrics for evaluating each of the ten GE student learning outcomes designated for GE Area A. The </w:t>
      </w:r>
      <w:r>
        <w:rPr>
          <w:rFonts w:ascii="Times New Roman" w:hAnsi="Times New Roman" w:cs="Times New Roman"/>
          <w:sz w:val="24"/>
          <w:szCs w:val="24"/>
        </w:rPr>
        <w:lastRenderedPageBreak/>
        <w:t>committee also discussed the specific</w:t>
      </w:r>
      <w:r w:rsidR="00310EC7">
        <w:rPr>
          <w:rFonts w:ascii="Times New Roman" w:hAnsi="Times New Roman" w:cs="Times New Roman"/>
          <w:sz w:val="24"/>
          <w:szCs w:val="24"/>
        </w:rPr>
        <w:t xml:space="preserve"> assignments submitted for each outcome </w:t>
      </w:r>
      <w:r>
        <w:rPr>
          <w:rFonts w:ascii="Times New Roman" w:hAnsi="Times New Roman" w:cs="Times New Roman"/>
          <w:sz w:val="24"/>
          <w:szCs w:val="24"/>
        </w:rPr>
        <w:t>and evaluated how well each assignment aligned to a specific GE student learning outcome. Finally, after two committee members were assigned to evaluate specific student learning outcomes, the Director of Assessment held a two-hour meet</w:t>
      </w:r>
      <w:r w:rsidR="00A70F92">
        <w:rPr>
          <w:rFonts w:ascii="Times New Roman" w:hAnsi="Times New Roman" w:cs="Times New Roman"/>
          <w:sz w:val="24"/>
          <w:szCs w:val="24"/>
        </w:rPr>
        <w:t>ing with all five faculty teams.</w:t>
      </w:r>
      <w:r>
        <w:rPr>
          <w:rFonts w:ascii="Times New Roman" w:hAnsi="Times New Roman" w:cs="Times New Roman"/>
          <w:sz w:val="24"/>
          <w:szCs w:val="24"/>
        </w:rPr>
        <w:t xml:space="preserve"> </w:t>
      </w:r>
      <w:r w:rsidR="00A70F92">
        <w:rPr>
          <w:rFonts w:ascii="Times New Roman" w:hAnsi="Times New Roman" w:cs="Times New Roman"/>
          <w:sz w:val="24"/>
          <w:szCs w:val="24"/>
        </w:rPr>
        <w:t xml:space="preserve">During these meetings, </w:t>
      </w:r>
      <w:r>
        <w:rPr>
          <w:rFonts w:ascii="Times New Roman" w:hAnsi="Times New Roman" w:cs="Times New Roman"/>
          <w:sz w:val="24"/>
          <w:szCs w:val="24"/>
        </w:rPr>
        <w:t xml:space="preserve">the appropriate rubric was used to evaluate sample student work as part of the norming process. Each reviewer scored the student work independently. Clarification was provided as necessary during the period in which the faculty teams were reviewing and scoring the assignments. After scoring the work, faculty teams met to identify common strengths and weaknesses; a third reviewer scored all assignments on which the two reviewers did not agree about proficiency. </w:t>
      </w:r>
    </w:p>
    <w:p w14:paraId="7D46619D" w14:textId="1DE26AD2" w:rsidR="00BB5DE5" w:rsidRDefault="00BB5DE5" w:rsidP="00BB5DE5">
      <w:pPr>
        <w:spacing w:line="259" w:lineRule="auto"/>
        <w:rPr>
          <w:rFonts w:ascii="Times New Roman" w:hAnsi="Times New Roman" w:cs="Times New Roman"/>
          <w:b/>
          <w:sz w:val="28"/>
          <w:szCs w:val="28"/>
        </w:rPr>
      </w:pPr>
      <w:r w:rsidRPr="00BB5DE5">
        <w:rPr>
          <w:rFonts w:ascii="Times New Roman" w:hAnsi="Times New Roman" w:cs="Times New Roman"/>
          <w:b/>
          <w:sz w:val="28"/>
          <w:szCs w:val="28"/>
        </w:rPr>
        <w:t>Outcomes and measures (assignments) use</w:t>
      </w:r>
      <w:r w:rsidR="00024EAC">
        <w:rPr>
          <w:rFonts w:ascii="Times New Roman" w:hAnsi="Times New Roman" w:cs="Times New Roman"/>
          <w:b/>
          <w:sz w:val="28"/>
          <w:szCs w:val="28"/>
        </w:rPr>
        <w:t>d to evaluate A3</w:t>
      </w:r>
      <w:r w:rsidRPr="00BB5DE5">
        <w:rPr>
          <w:rFonts w:ascii="Times New Roman" w:hAnsi="Times New Roman" w:cs="Times New Roman"/>
          <w:b/>
          <w:sz w:val="28"/>
          <w:szCs w:val="28"/>
        </w:rPr>
        <w:t xml:space="preserve"> outcomes:</w:t>
      </w:r>
    </w:p>
    <w:p w14:paraId="3120AD90" w14:textId="4383445D" w:rsidR="000D34F9" w:rsidRPr="000D34F9" w:rsidRDefault="000D34F9" w:rsidP="000D34F9">
      <w:pPr>
        <w:spacing w:after="0" w:line="240" w:lineRule="auto"/>
        <w:rPr>
          <w:rFonts w:ascii="Times New Roman" w:hAnsi="Times New Roman" w:cs="Times New Roman"/>
          <w:b/>
          <w:sz w:val="24"/>
          <w:szCs w:val="24"/>
        </w:rPr>
      </w:pPr>
      <w:r w:rsidRPr="000D34F9">
        <w:rPr>
          <w:rFonts w:ascii="Times New Roman" w:hAnsi="Times New Roman" w:cs="Times New Roman"/>
          <w:b/>
          <w:sz w:val="24"/>
          <w:szCs w:val="24"/>
        </w:rPr>
        <w:t>Critical Thinking (Area A3)</w:t>
      </w:r>
    </w:p>
    <w:p w14:paraId="4DAF4940" w14:textId="77777777" w:rsidR="000D34F9" w:rsidRPr="000D34F9" w:rsidRDefault="000D34F9" w:rsidP="000D34F9">
      <w:pPr>
        <w:spacing w:after="0" w:line="240" w:lineRule="auto"/>
        <w:rPr>
          <w:rFonts w:ascii="Times New Roman" w:hAnsi="Times New Roman" w:cs="Times New Roman"/>
          <w:b/>
          <w:sz w:val="24"/>
          <w:szCs w:val="24"/>
        </w:rPr>
      </w:pPr>
      <w:r w:rsidRPr="000D34F9">
        <w:rPr>
          <w:rFonts w:ascii="Times New Roman" w:hAnsi="Times New Roman" w:cs="Times New Roman"/>
          <w:b/>
          <w:sz w:val="24"/>
          <w:szCs w:val="24"/>
        </w:rPr>
        <w:t>Upon completion of an Area A3 (Critical Thinking) course, students will be able to:</w:t>
      </w:r>
    </w:p>
    <w:p w14:paraId="5899F138" w14:textId="77777777" w:rsidR="000D34F9" w:rsidRPr="000D34F9" w:rsidRDefault="000D34F9" w:rsidP="000D34F9">
      <w:pPr>
        <w:spacing w:after="0" w:line="240" w:lineRule="auto"/>
        <w:rPr>
          <w:rFonts w:ascii="Times New Roman" w:hAnsi="Times New Roman" w:cs="Times New Roman"/>
          <w:b/>
          <w:sz w:val="24"/>
          <w:szCs w:val="24"/>
        </w:rPr>
      </w:pPr>
    </w:p>
    <w:p w14:paraId="24C7CA6F" w14:textId="77777777" w:rsidR="000D34F9" w:rsidRPr="000D34F9" w:rsidRDefault="000D34F9" w:rsidP="000D34F9">
      <w:pPr>
        <w:numPr>
          <w:ilvl w:val="0"/>
          <w:numId w:val="2"/>
        </w:numPr>
        <w:spacing w:after="0" w:line="240" w:lineRule="auto"/>
        <w:rPr>
          <w:rFonts w:ascii="Times New Roman" w:hAnsi="Times New Roman" w:cs="Times New Roman"/>
          <w:sz w:val="24"/>
          <w:szCs w:val="24"/>
        </w:rPr>
      </w:pPr>
      <w:r w:rsidRPr="000D34F9">
        <w:rPr>
          <w:rFonts w:ascii="Times New Roman" w:hAnsi="Times New Roman" w:cs="Times New Roman"/>
          <w:sz w:val="24"/>
          <w:szCs w:val="24"/>
        </w:rPr>
        <w:t>Recognize, analyze, evaluate and construct arguments in ordinary language.</w:t>
      </w:r>
    </w:p>
    <w:p w14:paraId="1FADDD0B" w14:textId="77777777" w:rsidR="000D34F9" w:rsidRPr="000D34F9" w:rsidRDefault="000D34F9" w:rsidP="000D34F9">
      <w:pPr>
        <w:spacing w:after="0" w:line="240" w:lineRule="auto"/>
        <w:ind w:left="720"/>
        <w:rPr>
          <w:rFonts w:ascii="Times New Roman" w:hAnsi="Times New Roman" w:cs="Times New Roman"/>
          <w:sz w:val="24"/>
          <w:szCs w:val="24"/>
        </w:rPr>
      </w:pPr>
    </w:p>
    <w:p w14:paraId="6C05A4DE" w14:textId="77777777" w:rsidR="000D34F9" w:rsidRPr="000D34F9" w:rsidRDefault="000D34F9" w:rsidP="000D34F9">
      <w:pPr>
        <w:numPr>
          <w:ilvl w:val="0"/>
          <w:numId w:val="2"/>
        </w:numPr>
        <w:spacing w:after="0" w:line="240" w:lineRule="auto"/>
        <w:rPr>
          <w:rFonts w:ascii="Times New Roman" w:hAnsi="Times New Roman" w:cs="Times New Roman"/>
          <w:sz w:val="24"/>
          <w:szCs w:val="24"/>
        </w:rPr>
      </w:pPr>
      <w:r w:rsidRPr="000D34F9">
        <w:rPr>
          <w:rFonts w:ascii="Times New Roman" w:hAnsi="Times New Roman" w:cs="Times New Roman"/>
          <w:sz w:val="24"/>
          <w:szCs w:val="24"/>
        </w:rPr>
        <w:t>Distinguish between inductive and deductive reasoning.</w:t>
      </w:r>
    </w:p>
    <w:p w14:paraId="2F92C97E" w14:textId="77777777" w:rsidR="000D34F9" w:rsidRPr="000D34F9" w:rsidRDefault="000D34F9" w:rsidP="000D34F9">
      <w:pPr>
        <w:spacing w:after="0" w:line="240" w:lineRule="auto"/>
        <w:rPr>
          <w:rFonts w:ascii="Times New Roman" w:hAnsi="Times New Roman" w:cs="Times New Roman"/>
          <w:sz w:val="24"/>
          <w:szCs w:val="24"/>
        </w:rPr>
      </w:pPr>
    </w:p>
    <w:p w14:paraId="2D48AF88" w14:textId="77777777" w:rsidR="000D34F9" w:rsidRPr="000D34F9" w:rsidRDefault="000D34F9" w:rsidP="000D34F9">
      <w:pPr>
        <w:numPr>
          <w:ilvl w:val="0"/>
          <w:numId w:val="2"/>
        </w:numPr>
        <w:spacing w:after="0" w:line="240" w:lineRule="auto"/>
        <w:rPr>
          <w:rFonts w:ascii="Times New Roman" w:hAnsi="Times New Roman" w:cs="Times New Roman"/>
          <w:sz w:val="24"/>
          <w:szCs w:val="24"/>
        </w:rPr>
      </w:pPr>
      <w:r w:rsidRPr="000D34F9">
        <w:rPr>
          <w:rFonts w:ascii="Times New Roman" w:hAnsi="Times New Roman" w:cs="Times New Roman"/>
          <w:sz w:val="24"/>
          <w:szCs w:val="24"/>
        </w:rPr>
        <w:t>Identify common fallacies of reasoning.</w:t>
      </w:r>
    </w:p>
    <w:p w14:paraId="5882B631" w14:textId="77777777" w:rsidR="000D34F9" w:rsidRPr="000D34F9" w:rsidRDefault="000D34F9" w:rsidP="000D34F9">
      <w:pPr>
        <w:spacing w:after="0" w:line="240" w:lineRule="auto"/>
        <w:rPr>
          <w:rFonts w:ascii="Times New Roman" w:hAnsi="Times New Roman" w:cs="Times New Roman"/>
          <w:sz w:val="24"/>
          <w:szCs w:val="24"/>
        </w:rPr>
      </w:pPr>
    </w:p>
    <w:p w14:paraId="29946213" w14:textId="77777777" w:rsidR="000D34F9" w:rsidRPr="000D34F9" w:rsidRDefault="000D34F9" w:rsidP="000D34F9">
      <w:pPr>
        <w:numPr>
          <w:ilvl w:val="0"/>
          <w:numId w:val="2"/>
        </w:numPr>
        <w:spacing w:after="0" w:line="240" w:lineRule="auto"/>
        <w:rPr>
          <w:rFonts w:ascii="Times New Roman" w:hAnsi="Times New Roman" w:cs="Times New Roman"/>
          <w:sz w:val="24"/>
          <w:szCs w:val="24"/>
        </w:rPr>
      </w:pPr>
      <w:r w:rsidRPr="000D34F9">
        <w:rPr>
          <w:rFonts w:ascii="Times New Roman" w:hAnsi="Times New Roman" w:cs="Times New Roman"/>
          <w:sz w:val="24"/>
          <w:szCs w:val="24"/>
        </w:rPr>
        <w:t>Analyze and evaluate the various types of evidence for various types of claims.</w:t>
      </w:r>
    </w:p>
    <w:p w14:paraId="7D0576CA" w14:textId="77777777" w:rsidR="000D34F9" w:rsidRPr="000D34F9" w:rsidRDefault="000D34F9" w:rsidP="000D34F9">
      <w:pPr>
        <w:spacing w:after="0" w:line="240" w:lineRule="auto"/>
        <w:rPr>
          <w:rFonts w:ascii="Times New Roman" w:hAnsi="Times New Roman" w:cs="Times New Roman"/>
          <w:b/>
          <w:sz w:val="24"/>
          <w:szCs w:val="24"/>
        </w:rPr>
      </w:pPr>
    </w:p>
    <w:p w14:paraId="29FBCA1E" w14:textId="39B021A2" w:rsidR="00BB5DE5" w:rsidRDefault="00BB5DE5" w:rsidP="000D34F9">
      <w:pPr>
        <w:spacing w:line="259" w:lineRule="auto"/>
        <w:rPr>
          <w:rFonts w:ascii="Times New Roman" w:hAnsi="Times New Roman" w:cs="Times New Roman"/>
          <w:sz w:val="24"/>
          <w:szCs w:val="24"/>
        </w:rPr>
      </w:pPr>
      <w:r>
        <w:rPr>
          <w:rFonts w:ascii="Times New Roman" w:hAnsi="Times New Roman" w:cs="Times New Roman"/>
          <w:sz w:val="24"/>
          <w:szCs w:val="24"/>
        </w:rPr>
        <w:t>Assignments:</w:t>
      </w:r>
    </w:p>
    <w:p w14:paraId="350722A3" w14:textId="54E0F818" w:rsidR="000D34F9" w:rsidRPr="000D34F9" w:rsidRDefault="0012242F" w:rsidP="000D34F9">
      <w:pPr>
        <w:spacing w:line="259" w:lineRule="auto"/>
        <w:rPr>
          <w:rFonts w:ascii="Times New Roman" w:hAnsi="Times New Roman" w:cs="Times New Roman"/>
          <w:b/>
          <w:sz w:val="28"/>
          <w:szCs w:val="28"/>
        </w:rPr>
      </w:pPr>
      <w:r>
        <w:rPr>
          <w:rFonts w:ascii="Times New Roman" w:hAnsi="Times New Roman" w:cs="Times New Roman"/>
          <w:sz w:val="24"/>
          <w:szCs w:val="24"/>
        </w:rPr>
        <w:t>There are more than a dozen courses offered by eleven differe</w:t>
      </w:r>
      <w:r w:rsidR="00310EC7">
        <w:rPr>
          <w:rFonts w:ascii="Times New Roman" w:hAnsi="Times New Roman" w:cs="Times New Roman"/>
          <w:sz w:val="24"/>
          <w:szCs w:val="24"/>
        </w:rPr>
        <w:t xml:space="preserve">nt departments/programs </w:t>
      </w:r>
      <w:r>
        <w:rPr>
          <w:rFonts w:ascii="Times New Roman" w:hAnsi="Times New Roman" w:cs="Times New Roman"/>
          <w:sz w:val="24"/>
          <w:szCs w:val="24"/>
        </w:rPr>
        <w:t xml:space="preserve">in </w:t>
      </w:r>
      <w:r w:rsidR="00C44947">
        <w:rPr>
          <w:rFonts w:ascii="Times New Roman" w:hAnsi="Times New Roman" w:cs="Times New Roman"/>
          <w:sz w:val="24"/>
          <w:szCs w:val="24"/>
        </w:rPr>
        <w:t>GE Area A3 which focuses</w:t>
      </w:r>
      <w:r>
        <w:rPr>
          <w:rFonts w:ascii="Times New Roman" w:hAnsi="Times New Roman" w:cs="Times New Roman"/>
          <w:sz w:val="24"/>
          <w:szCs w:val="24"/>
        </w:rPr>
        <w:t xml:space="preserve"> on critical </w:t>
      </w:r>
      <w:r w:rsidR="00C44947">
        <w:rPr>
          <w:rFonts w:ascii="Times New Roman" w:hAnsi="Times New Roman" w:cs="Times New Roman"/>
          <w:sz w:val="24"/>
          <w:szCs w:val="24"/>
        </w:rPr>
        <w:t>thinking. As a result, there were</w:t>
      </w:r>
      <w:r>
        <w:rPr>
          <w:rFonts w:ascii="Times New Roman" w:hAnsi="Times New Roman" w:cs="Times New Roman"/>
          <w:sz w:val="24"/>
          <w:szCs w:val="24"/>
        </w:rPr>
        <w:t xml:space="preserve"> a diverse array of assignments</w:t>
      </w:r>
      <w:r w:rsidR="008D4DA4">
        <w:rPr>
          <w:rFonts w:ascii="Times New Roman" w:hAnsi="Times New Roman" w:cs="Times New Roman"/>
          <w:sz w:val="24"/>
          <w:szCs w:val="24"/>
        </w:rPr>
        <w:t xml:space="preserve"> submitted to the G</w:t>
      </w:r>
      <w:r w:rsidR="00C909CC">
        <w:rPr>
          <w:rFonts w:ascii="Times New Roman" w:hAnsi="Times New Roman" w:cs="Times New Roman"/>
          <w:sz w:val="24"/>
          <w:szCs w:val="24"/>
        </w:rPr>
        <w:t xml:space="preserve">E Program Portfolio. In cases where there was more than one assignment that aligned to a specific outcomes, at least two different assignments were used and there was at least one assignment that was closely aligned to each of the four outcomes.  For outcome one, two different kinds of papers were used to evaluate the outcome. One of the papers was a brief research paper in which students constructed an argument with a thesis and key point and supported these points with evidence from sources. The second paper was one where students identified and analyzed an argument in an article assigned by the professor. For the second outcome, an assignment where students had to analyze an article and distinguish between examples of inductive and deductive reasoning. There was only one assignment focused on inductive/deductive reasoning submitted to the GE Program Portfolio and not all students enrolled in the course with this assignment uploaded their assignments to the GE Program Portfolio and so the sample was very small. Going forward students will submit additional assignments related to inductive and deductive reasoning and a larger sample will be evaluated. </w:t>
      </w:r>
      <w:r w:rsidR="00C44947">
        <w:rPr>
          <w:rFonts w:ascii="Times New Roman" w:hAnsi="Times New Roman" w:cs="Times New Roman"/>
          <w:sz w:val="24"/>
          <w:szCs w:val="24"/>
        </w:rPr>
        <w:t xml:space="preserve">For outcome three, two different assignments that asked students to identify fallacies of reasoning within scholarly or non-scholarly articles were used to determine proficiency in the outcome. Finally, for outcome four an assignment a climate analysis worksheet that required students to identify key points and discuss whether or not the evidence provided was valid and reliable was used.  </w:t>
      </w:r>
    </w:p>
    <w:p w14:paraId="0FD06A95" w14:textId="77777777" w:rsidR="00BB5DE5" w:rsidRDefault="00BB5DE5" w:rsidP="005D004D">
      <w:pPr>
        <w:spacing w:after="0" w:line="240" w:lineRule="auto"/>
        <w:rPr>
          <w:rFonts w:ascii="Times New Roman" w:eastAsia="Times New Roman" w:hAnsi="Times New Roman" w:cs="Times New Roman"/>
          <w:sz w:val="24"/>
          <w:szCs w:val="24"/>
        </w:rPr>
      </w:pPr>
      <w:r w:rsidRPr="00BB5DE5">
        <w:rPr>
          <w:rFonts w:ascii="Times New Roman" w:eastAsia="Times New Roman" w:hAnsi="Times New Roman" w:cs="Times New Roman"/>
          <w:sz w:val="24"/>
          <w:szCs w:val="24"/>
        </w:rPr>
        <w:lastRenderedPageBreak/>
        <w:t>Review Process:</w:t>
      </w:r>
    </w:p>
    <w:p w14:paraId="49959871" w14:textId="559A9B6B" w:rsidR="005D004D" w:rsidRDefault="005D004D" w:rsidP="005D004D">
      <w:pPr>
        <w:spacing w:after="0" w:line="240" w:lineRule="auto"/>
        <w:rPr>
          <w:rFonts w:ascii="Times New Roman" w:eastAsia="Times New Roman" w:hAnsi="Times New Roman" w:cs="Times New Roman"/>
          <w:sz w:val="24"/>
          <w:szCs w:val="24"/>
        </w:rPr>
      </w:pPr>
    </w:p>
    <w:p w14:paraId="27492FFD" w14:textId="4897A192" w:rsidR="00310EC7" w:rsidRPr="005D004D" w:rsidRDefault="00A70F92" w:rsidP="005D0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Thirty assignme</w:t>
      </w:r>
      <w:r w:rsidR="00F51FEA">
        <w:rPr>
          <w:rFonts w:ascii="Times New Roman" w:eastAsia="Times New Roman" w:hAnsi="Times New Roman" w:cs="Times New Roman"/>
          <w:sz w:val="24"/>
          <w:szCs w:val="24"/>
        </w:rPr>
        <w:t xml:space="preserve">nts are considered the </w:t>
      </w:r>
      <w:r>
        <w:rPr>
          <w:rFonts w:ascii="Times New Roman" w:eastAsia="Times New Roman" w:hAnsi="Times New Roman" w:cs="Times New Roman"/>
          <w:sz w:val="24"/>
          <w:szCs w:val="24"/>
        </w:rPr>
        <w:t>minimum sample size for GE outcomes and beginning in the 2019-2020 AY more than thirty assignments will be evaluated. It was possible to use thirty or more assignments for A3 outcomes 1, 3, and 4</w:t>
      </w:r>
      <w:r w:rsidR="00D814ED">
        <w:rPr>
          <w:rFonts w:ascii="Times New Roman" w:eastAsia="Times New Roman" w:hAnsi="Times New Roman" w:cs="Times New Roman"/>
          <w:sz w:val="24"/>
          <w:szCs w:val="24"/>
        </w:rPr>
        <w:t xml:space="preserve"> during the assessment</w:t>
      </w:r>
      <w:r>
        <w:rPr>
          <w:rFonts w:ascii="Times New Roman" w:eastAsia="Times New Roman" w:hAnsi="Times New Roman" w:cs="Times New Roman"/>
          <w:sz w:val="24"/>
          <w:szCs w:val="24"/>
        </w:rPr>
        <w:t>. However,</w:t>
      </w:r>
      <w:r w:rsidR="00D814ED">
        <w:rPr>
          <w:rFonts w:ascii="Times New Roman" w:eastAsia="Times New Roman" w:hAnsi="Times New Roman" w:cs="Times New Roman"/>
          <w:sz w:val="24"/>
          <w:szCs w:val="24"/>
        </w:rPr>
        <w:t xml:space="preserve"> because this was the first year that students submitted assignments to the GE Program Portfolio and there was only one assignment that directly aligned to </w:t>
      </w:r>
      <w:r w:rsidR="00F51FEA">
        <w:rPr>
          <w:rFonts w:ascii="Times New Roman" w:eastAsia="Times New Roman" w:hAnsi="Times New Roman" w:cs="Times New Roman"/>
          <w:sz w:val="24"/>
          <w:szCs w:val="24"/>
        </w:rPr>
        <w:t xml:space="preserve">A3 outcome 2 </w:t>
      </w:r>
      <w:r w:rsidR="00D814ED">
        <w:rPr>
          <w:rFonts w:ascii="Times New Roman" w:eastAsia="Times New Roman" w:hAnsi="Times New Roman" w:cs="Times New Roman"/>
          <w:sz w:val="24"/>
          <w:szCs w:val="24"/>
        </w:rPr>
        <w:t>it was only possible to evaluate sixteen assignments. Despite working directly with the faculty member, only about two thirds of students in a relatively small course submitted the assi</w:t>
      </w:r>
      <w:r w:rsidR="00F51FEA">
        <w:rPr>
          <w:rFonts w:ascii="Times New Roman" w:eastAsia="Times New Roman" w:hAnsi="Times New Roman" w:cs="Times New Roman"/>
          <w:sz w:val="24"/>
          <w:szCs w:val="24"/>
        </w:rPr>
        <w:t xml:space="preserve">gnment to the GE Portfolio. All of the </w:t>
      </w:r>
      <w:r w:rsidR="00D814ED">
        <w:rPr>
          <w:rFonts w:ascii="Times New Roman" w:eastAsia="Times New Roman" w:hAnsi="Times New Roman" w:cs="Times New Roman"/>
          <w:sz w:val="24"/>
          <w:szCs w:val="24"/>
        </w:rPr>
        <w:t xml:space="preserve">assignments </w:t>
      </w:r>
      <w:r w:rsidR="00F51FEA">
        <w:rPr>
          <w:rFonts w:ascii="Times New Roman" w:eastAsia="Times New Roman" w:hAnsi="Times New Roman" w:cs="Times New Roman"/>
          <w:sz w:val="24"/>
          <w:szCs w:val="24"/>
        </w:rPr>
        <w:t>used to evaluate the A3 student learning outcomes</w:t>
      </w:r>
      <w:r w:rsidR="00D814ED">
        <w:rPr>
          <w:rFonts w:ascii="Times New Roman" w:eastAsia="Times New Roman" w:hAnsi="Times New Roman" w:cs="Times New Roman"/>
          <w:sz w:val="24"/>
          <w:szCs w:val="24"/>
        </w:rPr>
        <w:t xml:space="preserve"> aligned very closely to</w:t>
      </w:r>
      <w:r w:rsidR="00F51FEA">
        <w:rPr>
          <w:rFonts w:ascii="Times New Roman" w:eastAsia="Times New Roman" w:hAnsi="Times New Roman" w:cs="Times New Roman"/>
          <w:sz w:val="24"/>
          <w:szCs w:val="24"/>
        </w:rPr>
        <w:t xml:space="preserve"> one of</w:t>
      </w:r>
      <w:r w:rsidR="00D814ED">
        <w:rPr>
          <w:rFonts w:ascii="Times New Roman" w:eastAsia="Times New Roman" w:hAnsi="Times New Roman" w:cs="Times New Roman"/>
          <w:sz w:val="24"/>
          <w:szCs w:val="24"/>
        </w:rPr>
        <w:t xml:space="preserve"> the specific o</w:t>
      </w:r>
      <w:r w:rsidR="00F51FEA">
        <w:rPr>
          <w:rFonts w:ascii="Times New Roman" w:eastAsia="Times New Roman" w:hAnsi="Times New Roman" w:cs="Times New Roman"/>
          <w:sz w:val="24"/>
          <w:szCs w:val="24"/>
        </w:rPr>
        <w:t>utcomes</w:t>
      </w:r>
      <w:r w:rsidR="00D81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B05F761" w14:textId="08841AD8" w:rsidR="004E0EA3" w:rsidRDefault="004E0EA3" w:rsidP="00BB5DE5">
      <w:pPr>
        <w:rPr>
          <w:rFonts w:ascii="Times New Roman" w:hAnsi="Times New Roman" w:cs="Times New Roman"/>
          <w:sz w:val="24"/>
          <w:szCs w:val="24"/>
        </w:rPr>
      </w:pPr>
    </w:p>
    <w:p w14:paraId="7EEFECEC" w14:textId="52348D8B" w:rsidR="00BB5DE5" w:rsidRDefault="00024EAC" w:rsidP="00BB5DE5">
      <w:pPr>
        <w:spacing w:line="259" w:lineRule="auto"/>
        <w:rPr>
          <w:rFonts w:ascii="Times New Roman" w:hAnsi="Times New Roman" w:cs="Times New Roman"/>
          <w:b/>
          <w:sz w:val="28"/>
          <w:szCs w:val="28"/>
        </w:rPr>
      </w:pPr>
      <w:r>
        <w:rPr>
          <w:rFonts w:ascii="Times New Roman" w:hAnsi="Times New Roman" w:cs="Times New Roman"/>
          <w:b/>
          <w:sz w:val="28"/>
          <w:szCs w:val="28"/>
        </w:rPr>
        <w:t>Results for A3</w:t>
      </w:r>
      <w:r w:rsidR="00BB5DE5" w:rsidRPr="00BB5DE5">
        <w:rPr>
          <w:rFonts w:ascii="Times New Roman" w:hAnsi="Times New Roman" w:cs="Times New Roman"/>
          <w:b/>
          <w:sz w:val="28"/>
          <w:szCs w:val="28"/>
        </w:rPr>
        <w:t xml:space="preserve"> o</w:t>
      </w:r>
      <w:r>
        <w:rPr>
          <w:rFonts w:ascii="Times New Roman" w:hAnsi="Times New Roman" w:cs="Times New Roman"/>
          <w:b/>
          <w:sz w:val="28"/>
          <w:szCs w:val="28"/>
        </w:rPr>
        <w:t>utcome</w:t>
      </w:r>
      <w:r w:rsidR="00FA47FB">
        <w:rPr>
          <w:rFonts w:ascii="Times New Roman" w:hAnsi="Times New Roman" w:cs="Times New Roman"/>
          <w:b/>
          <w:sz w:val="28"/>
          <w:szCs w:val="28"/>
        </w:rPr>
        <w:t>s</w:t>
      </w:r>
      <w:r>
        <w:rPr>
          <w:rFonts w:ascii="Times New Roman" w:hAnsi="Times New Roman" w:cs="Times New Roman"/>
          <w:b/>
          <w:sz w:val="28"/>
          <w:szCs w:val="28"/>
        </w:rPr>
        <w:t xml:space="preserve"> 1, 2, </w:t>
      </w:r>
      <w:r w:rsidR="00BB5DE5" w:rsidRPr="00BB5DE5">
        <w:rPr>
          <w:rFonts w:ascii="Times New Roman" w:hAnsi="Times New Roman" w:cs="Times New Roman"/>
          <w:b/>
          <w:sz w:val="28"/>
          <w:szCs w:val="28"/>
        </w:rPr>
        <w:t>3</w:t>
      </w:r>
      <w:r>
        <w:rPr>
          <w:rFonts w:ascii="Times New Roman" w:hAnsi="Times New Roman" w:cs="Times New Roman"/>
          <w:b/>
          <w:sz w:val="28"/>
          <w:szCs w:val="28"/>
        </w:rPr>
        <w:t xml:space="preserve">, </w:t>
      </w:r>
      <w:r w:rsidR="00FA47FB">
        <w:rPr>
          <w:rFonts w:ascii="Times New Roman" w:hAnsi="Times New Roman" w:cs="Times New Roman"/>
          <w:b/>
          <w:sz w:val="28"/>
          <w:szCs w:val="28"/>
        </w:rPr>
        <w:t xml:space="preserve">and </w:t>
      </w:r>
      <w:r>
        <w:rPr>
          <w:rFonts w:ascii="Times New Roman" w:hAnsi="Times New Roman" w:cs="Times New Roman"/>
          <w:b/>
          <w:sz w:val="28"/>
          <w:szCs w:val="28"/>
        </w:rPr>
        <w:t>4</w:t>
      </w:r>
      <w:r w:rsidR="00BB5DE5" w:rsidRPr="00BB5DE5">
        <w:rPr>
          <w:rFonts w:ascii="Times New Roman" w:hAnsi="Times New Roman" w:cs="Times New Roman"/>
          <w:b/>
          <w:sz w:val="28"/>
          <w:szCs w:val="28"/>
        </w:rPr>
        <w:t xml:space="preserve"> </w:t>
      </w:r>
    </w:p>
    <w:p w14:paraId="467E8133" w14:textId="3ABCC9C2" w:rsidR="00D814ED" w:rsidRDefault="00FE2D31" w:rsidP="00BB5DE5">
      <w:pPr>
        <w:spacing w:line="259" w:lineRule="auto"/>
        <w:rPr>
          <w:rFonts w:ascii="Times New Roman" w:hAnsi="Times New Roman" w:cs="Times New Roman"/>
          <w:sz w:val="24"/>
          <w:szCs w:val="24"/>
        </w:rPr>
      </w:pPr>
      <w:r>
        <w:rPr>
          <w:rFonts w:ascii="Times New Roman" w:hAnsi="Times New Roman" w:cs="Times New Roman"/>
          <w:sz w:val="24"/>
          <w:szCs w:val="24"/>
        </w:rPr>
        <w:t xml:space="preserve">Outcome 1 focuses on student’s ability to recognize, analyze, and evaluate or to construct arguments and the rubric had three criteria. Out of the 29 students evaluated, 22 (76%) were considered proficient </w:t>
      </w:r>
      <w:r w:rsidR="00296CE4">
        <w:rPr>
          <w:rFonts w:ascii="Times New Roman" w:hAnsi="Times New Roman" w:cs="Times New Roman"/>
          <w:sz w:val="24"/>
          <w:szCs w:val="24"/>
        </w:rPr>
        <w:t xml:space="preserve">in the first criteria </w:t>
      </w:r>
      <w:r>
        <w:rPr>
          <w:rFonts w:ascii="Times New Roman" w:hAnsi="Times New Roman" w:cs="Times New Roman"/>
          <w:sz w:val="24"/>
          <w:szCs w:val="24"/>
        </w:rPr>
        <w:t xml:space="preserve">with 12 of the 22 designated as advanced. </w:t>
      </w:r>
      <w:r w:rsidR="00296CE4">
        <w:rPr>
          <w:rFonts w:ascii="Times New Roman" w:hAnsi="Times New Roman" w:cs="Times New Roman"/>
          <w:sz w:val="24"/>
          <w:szCs w:val="24"/>
        </w:rPr>
        <w:t>Twenty-one (7</w:t>
      </w:r>
      <w:r w:rsidR="00FA47FB">
        <w:rPr>
          <w:rFonts w:ascii="Times New Roman" w:hAnsi="Times New Roman" w:cs="Times New Roman"/>
          <w:sz w:val="24"/>
          <w:szCs w:val="24"/>
        </w:rPr>
        <w:t>2</w:t>
      </w:r>
      <w:r w:rsidR="00DC19A7">
        <w:rPr>
          <w:rFonts w:ascii="Times New Roman" w:hAnsi="Times New Roman" w:cs="Times New Roman"/>
          <w:sz w:val="24"/>
          <w:szCs w:val="24"/>
        </w:rPr>
        <w:t>%)</w:t>
      </w:r>
      <w:r w:rsidR="00DF6459">
        <w:rPr>
          <w:rFonts w:ascii="Times New Roman" w:hAnsi="Times New Roman" w:cs="Times New Roman"/>
          <w:sz w:val="24"/>
          <w:szCs w:val="24"/>
          <w:vertAlign w:val="superscript"/>
        </w:rPr>
        <w:t xml:space="preserve"> </w:t>
      </w:r>
      <w:r w:rsidR="00296CE4">
        <w:rPr>
          <w:rFonts w:ascii="Times New Roman" w:hAnsi="Times New Roman" w:cs="Times New Roman"/>
          <w:sz w:val="24"/>
          <w:szCs w:val="24"/>
        </w:rPr>
        <w:t xml:space="preserve">were considered proficient in criteria 2 with 12 of those students </w:t>
      </w:r>
      <w:r w:rsidR="00FA47FB">
        <w:rPr>
          <w:rFonts w:ascii="Times New Roman" w:hAnsi="Times New Roman" w:cs="Times New Roman"/>
          <w:sz w:val="24"/>
          <w:szCs w:val="24"/>
        </w:rPr>
        <w:t xml:space="preserve">were </w:t>
      </w:r>
      <w:r w:rsidR="00296CE4">
        <w:rPr>
          <w:rFonts w:ascii="Times New Roman" w:hAnsi="Times New Roman" w:cs="Times New Roman"/>
          <w:sz w:val="24"/>
          <w:szCs w:val="24"/>
        </w:rPr>
        <w:t>deemed advanced</w:t>
      </w:r>
      <w:r w:rsidR="00FA47FB">
        <w:rPr>
          <w:rFonts w:ascii="Times New Roman" w:hAnsi="Times New Roman" w:cs="Times New Roman"/>
          <w:sz w:val="24"/>
          <w:szCs w:val="24"/>
        </w:rPr>
        <w:t>.</w:t>
      </w:r>
      <w:r w:rsidR="00296CE4">
        <w:rPr>
          <w:rFonts w:ascii="Times New Roman" w:hAnsi="Times New Roman" w:cs="Times New Roman"/>
          <w:sz w:val="24"/>
          <w:szCs w:val="24"/>
        </w:rPr>
        <w:t xml:space="preserve"> </w:t>
      </w:r>
      <w:r w:rsidR="00FA47FB">
        <w:rPr>
          <w:rFonts w:ascii="Times New Roman" w:hAnsi="Times New Roman" w:cs="Times New Roman"/>
          <w:sz w:val="24"/>
          <w:szCs w:val="24"/>
        </w:rPr>
        <w:t>T</w:t>
      </w:r>
      <w:r w:rsidR="00296CE4">
        <w:rPr>
          <w:rFonts w:ascii="Times New Roman" w:hAnsi="Times New Roman" w:cs="Times New Roman"/>
          <w:sz w:val="24"/>
          <w:szCs w:val="24"/>
        </w:rPr>
        <w:t xml:space="preserve">wenty </w:t>
      </w:r>
      <w:r w:rsidR="00FA47FB">
        <w:rPr>
          <w:rFonts w:ascii="Times New Roman" w:hAnsi="Times New Roman" w:cs="Times New Roman"/>
          <w:sz w:val="24"/>
          <w:szCs w:val="24"/>
        </w:rPr>
        <w:t xml:space="preserve">of twenty-nine </w:t>
      </w:r>
      <w:r w:rsidR="00296CE4">
        <w:rPr>
          <w:rFonts w:ascii="Times New Roman" w:hAnsi="Times New Roman" w:cs="Times New Roman"/>
          <w:sz w:val="24"/>
          <w:szCs w:val="24"/>
        </w:rPr>
        <w:t>(69%) were designated proficient in criteria three</w:t>
      </w:r>
      <w:r w:rsidR="00FA47FB">
        <w:rPr>
          <w:rFonts w:ascii="Times New Roman" w:hAnsi="Times New Roman" w:cs="Times New Roman"/>
          <w:sz w:val="24"/>
          <w:szCs w:val="24"/>
        </w:rPr>
        <w:t>,</w:t>
      </w:r>
      <w:r w:rsidR="00296CE4">
        <w:rPr>
          <w:rFonts w:ascii="Times New Roman" w:hAnsi="Times New Roman" w:cs="Times New Roman"/>
          <w:sz w:val="24"/>
          <w:szCs w:val="24"/>
        </w:rPr>
        <w:t xml:space="preserve"> with twelve of the twenty scoring advanced and eight of the twenty scoring proficient. </w:t>
      </w:r>
      <w:r w:rsidR="00FA47FB">
        <w:rPr>
          <w:rFonts w:ascii="Times New Roman" w:hAnsi="Times New Roman" w:cs="Times New Roman"/>
          <w:sz w:val="24"/>
          <w:szCs w:val="24"/>
        </w:rPr>
        <w:t xml:space="preserve">Overall, across the three criteria, 75.9% of students were deemed proficient. Outcome 2 assesses the ability to </w:t>
      </w:r>
      <w:r>
        <w:rPr>
          <w:rFonts w:ascii="Times New Roman" w:hAnsi="Times New Roman" w:cs="Times New Roman"/>
          <w:sz w:val="24"/>
          <w:szCs w:val="24"/>
        </w:rPr>
        <w:t>distinguis</w:t>
      </w:r>
      <w:r w:rsidR="00FA47FB">
        <w:rPr>
          <w:rFonts w:ascii="Times New Roman" w:hAnsi="Times New Roman" w:cs="Times New Roman"/>
          <w:sz w:val="24"/>
          <w:szCs w:val="24"/>
        </w:rPr>
        <w:t>h</w:t>
      </w:r>
      <w:r>
        <w:rPr>
          <w:rFonts w:ascii="Times New Roman" w:hAnsi="Times New Roman" w:cs="Times New Roman"/>
          <w:sz w:val="24"/>
          <w:szCs w:val="24"/>
        </w:rPr>
        <w:t xml:space="preserve"> between inductive and deductive reasoning, 14 (88%) out of the 16 students evaluated were deemed proficient and 5 of the 14 were deemed advanced instead of merely proficient. Out of thirty students evaluated for their ability to identify common fallacies of reasoning</w:t>
      </w:r>
      <w:r w:rsidR="00FA47FB">
        <w:rPr>
          <w:rFonts w:ascii="Times New Roman" w:hAnsi="Times New Roman" w:cs="Times New Roman"/>
          <w:sz w:val="24"/>
          <w:szCs w:val="24"/>
        </w:rPr>
        <w:t xml:space="preserve"> (</w:t>
      </w:r>
      <w:r w:rsidR="00AF2920">
        <w:rPr>
          <w:rFonts w:ascii="Times New Roman" w:hAnsi="Times New Roman" w:cs="Times New Roman"/>
          <w:sz w:val="24"/>
          <w:szCs w:val="24"/>
        </w:rPr>
        <w:t>o</w:t>
      </w:r>
      <w:r w:rsidR="00FA47FB">
        <w:rPr>
          <w:rFonts w:ascii="Times New Roman" w:hAnsi="Times New Roman" w:cs="Times New Roman"/>
          <w:sz w:val="24"/>
          <w:szCs w:val="24"/>
        </w:rPr>
        <w:t>utcome 3)</w:t>
      </w:r>
      <w:r>
        <w:rPr>
          <w:rFonts w:ascii="Times New Roman" w:hAnsi="Times New Roman" w:cs="Times New Roman"/>
          <w:sz w:val="24"/>
          <w:szCs w:val="24"/>
        </w:rPr>
        <w:t xml:space="preserve">, 25 (83%) were deemed proficient and 5 were designated as not proficient. </w:t>
      </w:r>
      <w:r w:rsidR="00296CE4">
        <w:rPr>
          <w:rFonts w:ascii="Times New Roman" w:hAnsi="Times New Roman" w:cs="Times New Roman"/>
          <w:sz w:val="24"/>
          <w:szCs w:val="24"/>
        </w:rPr>
        <w:t>Analyzing and evaluating claims for various types of evidence</w:t>
      </w:r>
      <w:r w:rsidR="00F66257">
        <w:rPr>
          <w:rFonts w:ascii="Times New Roman" w:hAnsi="Times New Roman" w:cs="Times New Roman"/>
          <w:sz w:val="24"/>
          <w:szCs w:val="24"/>
        </w:rPr>
        <w:t xml:space="preserve"> (</w:t>
      </w:r>
      <w:r w:rsidR="00AF2920">
        <w:rPr>
          <w:rFonts w:ascii="Times New Roman" w:hAnsi="Times New Roman" w:cs="Times New Roman"/>
          <w:sz w:val="24"/>
          <w:szCs w:val="24"/>
        </w:rPr>
        <w:t>o</w:t>
      </w:r>
      <w:r w:rsidR="00F66257">
        <w:rPr>
          <w:rFonts w:ascii="Times New Roman" w:hAnsi="Times New Roman" w:cs="Times New Roman"/>
          <w:sz w:val="24"/>
          <w:szCs w:val="24"/>
        </w:rPr>
        <w:t>utcome 4)</w:t>
      </w:r>
      <w:r w:rsidR="00296CE4">
        <w:rPr>
          <w:rFonts w:ascii="Times New Roman" w:hAnsi="Times New Roman" w:cs="Times New Roman"/>
          <w:sz w:val="24"/>
          <w:szCs w:val="24"/>
        </w:rPr>
        <w:t xml:space="preserve"> is an important skill and thirty (86%) out of the </w:t>
      </w:r>
      <w:r w:rsidR="001E71FD">
        <w:rPr>
          <w:rFonts w:ascii="Times New Roman" w:hAnsi="Times New Roman" w:cs="Times New Roman"/>
          <w:sz w:val="24"/>
          <w:szCs w:val="24"/>
        </w:rPr>
        <w:t>thirty-five</w:t>
      </w:r>
      <w:r w:rsidR="00296CE4">
        <w:rPr>
          <w:rFonts w:ascii="Times New Roman" w:hAnsi="Times New Roman" w:cs="Times New Roman"/>
          <w:sz w:val="24"/>
          <w:szCs w:val="24"/>
        </w:rPr>
        <w:t xml:space="preserve"> students evaluated were deemed proficient in both criteria one and criteria two.  </w:t>
      </w:r>
      <w:r>
        <w:rPr>
          <w:rFonts w:ascii="Times New Roman" w:hAnsi="Times New Roman" w:cs="Times New Roman"/>
          <w:sz w:val="24"/>
          <w:szCs w:val="24"/>
        </w:rPr>
        <w:t xml:space="preserve">  </w:t>
      </w:r>
    </w:p>
    <w:p w14:paraId="67FEFCBD" w14:textId="6AA6F4E1" w:rsidR="00507F1E" w:rsidRPr="005A1AB2" w:rsidRDefault="00507F1E" w:rsidP="00507F1E">
      <w:pPr>
        <w:spacing w:after="0" w:line="257" w:lineRule="auto"/>
        <w:contextualSpacing/>
        <w:rPr>
          <w:rFonts w:ascii="Times New Roman" w:hAnsi="Times New Roman" w:cs="Times New Roman"/>
          <w:b/>
          <w:bCs/>
          <w:sz w:val="24"/>
          <w:szCs w:val="24"/>
        </w:rPr>
      </w:pPr>
      <w:r w:rsidRPr="005A1AB2">
        <w:rPr>
          <w:rFonts w:ascii="Times New Roman" w:hAnsi="Times New Roman" w:cs="Times New Roman"/>
          <w:b/>
          <w:bCs/>
          <w:sz w:val="24"/>
          <w:szCs w:val="24"/>
        </w:rPr>
        <w:t>Table 1. Student Proficiency and Inter-rater Reliability Averages for GE Area A</w:t>
      </w:r>
      <w:r>
        <w:rPr>
          <w:rFonts w:ascii="Times New Roman" w:hAnsi="Times New Roman" w:cs="Times New Roman"/>
          <w:b/>
          <w:bCs/>
          <w:sz w:val="24"/>
          <w:szCs w:val="24"/>
        </w:rPr>
        <w:t>3</w:t>
      </w:r>
    </w:p>
    <w:tbl>
      <w:tblPr>
        <w:tblStyle w:val="GridTable3-Accent31"/>
        <w:tblW w:w="8825" w:type="dxa"/>
        <w:tblInd w:w="-5" w:type="dxa"/>
        <w:tblLook w:val="04A0" w:firstRow="1" w:lastRow="0" w:firstColumn="1" w:lastColumn="0" w:noHBand="0" w:noVBand="1"/>
      </w:tblPr>
      <w:tblGrid>
        <w:gridCol w:w="1599"/>
        <w:gridCol w:w="1466"/>
        <w:gridCol w:w="1440"/>
        <w:gridCol w:w="1440"/>
        <w:gridCol w:w="1260"/>
        <w:gridCol w:w="1620"/>
      </w:tblGrid>
      <w:tr w:rsidR="00507F1E" w14:paraId="3764C43B" w14:textId="51FE0A05" w:rsidTr="00507F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9" w:type="dxa"/>
            <w:tcBorders>
              <w:top w:val="thinThickMediumGap" w:sz="24" w:space="0" w:color="000000" w:themeColor="text1"/>
              <w:bottom w:val="single" w:sz="4" w:space="0" w:color="000000" w:themeColor="text1"/>
            </w:tcBorders>
          </w:tcPr>
          <w:p w14:paraId="3C32C0F7" w14:textId="77777777" w:rsidR="00507F1E" w:rsidRDefault="00507F1E" w:rsidP="00507F1E">
            <w:pPr>
              <w:rPr>
                <w:rFonts w:ascii="Times New Roman" w:hAnsi="Times New Roman" w:cs="Times New Roman"/>
                <w:sz w:val="24"/>
                <w:szCs w:val="24"/>
              </w:rPr>
            </w:pPr>
          </w:p>
        </w:tc>
        <w:tc>
          <w:tcPr>
            <w:tcW w:w="1466" w:type="dxa"/>
            <w:tcBorders>
              <w:top w:val="thinThickMediumGap" w:sz="24" w:space="0" w:color="000000" w:themeColor="text1"/>
              <w:bottom w:val="single" w:sz="4" w:space="0" w:color="000000" w:themeColor="text1"/>
            </w:tcBorders>
            <w:vAlign w:val="bottom"/>
          </w:tcPr>
          <w:p w14:paraId="0221A990" w14:textId="460F672E" w:rsidR="00507F1E" w:rsidRPr="00507F1E" w:rsidRDefault="00507F1E" w:rsidP="00507F1E">
            <w:pPr>
              <w:tabs>
                <w:tab w:val="decimal" w:pos="643"/>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7F1E">
              <w:rPr>
                <w:rFonts w:ascii="Calibri" w:hAnsi="Calibri" w:cs="Calibri"/>
                <w:color w:val="000000"/>
              </w:rPr>
              <w:t>A3.1</w:t>
            </w:r>
          </w:p>
        </w:tc>
        <w:tc>
          <w:tcPr>
            <w:tcW w:w="1440" w:type="dxa"/>
            <w:tcBorders>
              <w:top w:val="thinThickMediumGap" w:sz="24" w:space="0" w:color="000000" w:themeColor="text1"/>
              <w:bottom w:val="single" w:sz="4" w:space="0" w:color="000000" w:themeColor="text1"/>
            </w:tcBorders>
            <w:vAlign w:val="bottom"/>
          </w:tcPr>
          <w:p w14:paraId="6072A704" w14:textId="28A3266C" w:rsidR="00507F1E" w:rsidRPr="00507F1E" w:rsidRDefault="00507F1E" w:rsidP="00507F1E">
            <w:pPr>
              <w:tabs>
                <w:tab w:val="decimal" w:pos="643"/>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7F1E">
              <w:rPr>
                <w:rFonts w:ascii="Calibri" w:hAnsi="Calibri" w:cs="Calibri"/>
                <w:color w:val="000000"/>
              </w:rPr>
              <w:t>A3.2</w:t>
            </w:r>
          </w:p>
        </w:tc>
        <w:tc>
          <w:tcPr>
            <w:tcW w:w="1440" w:type="dxa"/>
            <w:tcBorders>
              <w:top w:val="thinThickMediumGap" w:sz="24" w:space="0" w:color="000000" w:themeColor="text1"/>
              <w:bottom w:val="single" w:sz="4" w:space="0" w:color="000000" w:themeColor="text1"/>
            </w:tcBorders>
            <w:vAlign w:val="bottom"/>
          </w:tcPr>
          <w:p w14:paraId="297E3D04" w14:textId="76B760FD" w:rsidR="00507F1E" w:rsidRPr="00507F1E" w:rsidRDefault="00507F1E" w:rsidP="00507F1E">
            <w:pPr>
              <w:tabs>
                <w:tab w:val="decimal" w:pos="643"/>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7F1E">
              <w:rPr>
                <w:rFonts w:ascii="Calibri" w:hAnsi="Calibri" w:cs="Calibri"/>
                <w:color w:val="000000"/>
              </w:rPr>
              <w:t>A3.3</w:t>
            </w:r>
          </w:p>
        </w:tc>
        <w:tc>
          <w:tcPr>
            <w:tcW w:w="1260" w:type="dxa"/>
            <w:tcBorders>
              <w:top w:val="thinThickMediumGap" w:sz="24" w:space="0" w:color="000000" w:themeColor="text1"/>
              <w:bottom w:val="single" w:sz="4" w:space="0" w:color="000000" w:themeColor="text1"/>
            </w:tcBorders>
            <w:vAlign w:val="bottom"/>
          </w:tcPr>
          <w:p w14:paraId="6AF796E5" w14:textId="41C7DC0F" w:rsidR="00507F1E" w:rsidRPr="00507F1E" w:rsidRDefault="00507F1E" w:rsidP="00507F1E">
            <w:pPr>
              <w:tabs>
                <w:tab w:val="decimal" w:pos="643"/>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7F1E">
              <w:rPr>
                <w:rFonts w:ascii="Calibri" w:hAnsi="Calibri" w:cs="Calibri"/>
                <w:color w:val="000000"/>
              </w:rPr>
              <w:t>A3.4</w:t>
            </w:r>
          </w:p>
        </w:tc>
        <w:tc>
          <w:tcPr>
            <w:tcW w:w="1620" w:type="dxa"/>
            <w:tcBorders>
              <w:top w:val="thinThickMediumGap" w:sz="24" w:space="0" w:color="000000" w:themeColor="text1"/>
              <w:bottom w:val="single" w:sz="4" w:space="0" w:color="000000" w:themeColor="text1"/>
            </w:tcBorders>
            <w:vAlign w:val="bottom"/>
          </w:tcPr>
          <w:p w14:paraId="19D34B51" w14:textId="2B520FEE" w:rsidR="00507F1E" w:rsidRPr="00507F1E" w:rsidRDefault="00507F1E" w:rsidP="00507F1E">
            <w:pPr>
              <w:tabs>
                <w:tab w:val="decimal" w:pos="643"/>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507F1E">
              <w:rPr>
                <w:rFonts w:ascii="Calibri" w:hAnsi="Calibri" w:cs="Calibri"/>
                <w:color w:val="000000"/>
              </w:rPr>
              <w:t>Overall</w:t>
            </w:r>
          </w:p>
        </w:tc>
      </w:tr>
      <w:tr w:rsidR="00507F1E" w14:paraId="265F07E9" w14:textId="59FD32AC" w:rsidTr="00E1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Borders>
              <w:top w:val="single" w:sz="4" w:space="0" w:color="000000" w:themeColor="text1"/>
              <w:right w:val="nil"/>
            </w:tcBorders>
          </w:tcPr>
          <w:p w14:paraId="2FC8DAC9" w14:textId="77777777" w:rsidR="00507F1E" w:rsidRDefault="00507F1E" w:rsidP="00507F1E">
            <w:pPr>
              <w:rPr>
                <w:rFonts w:ascii="Times New Roman" w:hAnsi="Times New Roman" w:cs="Times New Roman"/>
                <w:sz w:val="24"/>
                <w:szCs w:val="24"/>
              </w:rPr>
            </w:pPr>
            <w:r>
              <w:rPr>
                <w:rFonts w:ascii="Calibri" w:hAnsi="Calibri" w:cs="Calibri"/>
                <w:color w:val="000000"/>
              </w:rPr>
              <w:t>Student Proficiency</w:t>
            </w:r>
          </w:p>
        </w:tc>
        <w:tc>
          <w:tcPr>
            <w:tcW w:w="1466" w:type="dxa"/>
            <w:tcBorders>
              <w:top w:val="single" w:sz="4" w:space="0" w:color="000000" w:themeColor="text1"/>
              <w:left w:val="nil"/>
              <w:bottom w:val="nil"/>
              <w:right w:val="nil"/>
            </w:tcBorders>
            <w:shd w:val="clear" w:color="auto" w:fill="FFFFFF" w:themeFill="background1"/>
          </w:tcPr>
          <w:p w14:paraId="477E1235" w14:textId="0BE81CD5" w:rsidR="00507F1E" w:rsidRDefault="00507F1E" w:rsidP="00E16F26">
            <w:pPr>
              <w:tabs>
                <w:tab w:val="decimal" w:pos="6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7</w:t>
            </w:r>
            <w:r w:rsidR="00FA47FB">
              <w:rPr>
                <w:rFonts w:ascii="Calibri" w:hAnsi="Calibri" w:cs="Calibri"/>
                <w:color w:val="000000"/>
              </w:rPr>
              <w:t>5.9</w:t>
            </w:r>
          </w:p>
        </w:tc>
        <w:tc>
          <w:tcPr>
            <w:tcW w:w="1440" w:type="dxa"/>
            <w:tcBorders>
              <w:top w:val="single" w:sz="4" w:space="0" w:color="000000" w:themeColor="text1"/>
              <w:left w:val="nil"/>
              <w:bottom w:val="nil"/>
              <w:right w:val="nil"/>
            </w:tcBorders>
            <w:shd w:val="clear" w:color="auto" w:fill="FFFFFF" w:themeFill="background1"/>
          </w:tcPr>
          <w:p w14:paraId="4A8D5624" w14:textId="2FFE7E0A" w:rsidR="00507F1E" w:rsidRDefault="00FA47FB" w:rsidP="00E16F26">
            <w:pPr>
              <w:tabs>
                <w:tab w:val="decimal" w:pos="6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A47FB">
              <w:rPr>
                <w:rFonts w:ascii="Calibri" w:hAnsi="Calibri" w:cs="Calibri"/>
                <w:color w:val="000000"/>
              </w:rPr>
              <w:t>87.5</w:t>
            </w:r>
          </w:p>
        </w:tc>
        <w:tc>
          <w:tcPr>
            <w:tcW w:w="1440" w:type="dxa"/>
            <w:tcBorders>
              <w:top w:val="single" w:sz="4" w:space="0" w:color="000000" w:themeColor="text1"/>
              <w:left w:val="nil"/>
              <w:bottom w:val="nil"/>
              <w:right w:val="nil"/>
            </w:tcBorders>
            <w:shd w:val="clear" w:color="auto" w:fill="FFFFFF" w:themeFill="background1"/>
          </w:tcPr>
          <w:p w14:paraId="2B2E8995" w14:textId="64A5F60E" w:rsidR="00507F1E" w:rsidRDefault="00507F1E" w:rsidP="00E16F26">
            <w:pPr>
              <w:tabs>
                <w:tab w:val="decimal" w:pos="6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83.3</w:t>
            </w:r>
          </w:p>
        </w:tc>
        <w:tc>
          <w:tcPr>
            <w:tcW w:w="1260" w:type="dxa"/>
            <w:tcBorders>
              <w:top w:val="single" w:sz="4" w:space="0" w:color="000000" w:themeColor="text1"/>
              <w:left w:val="nil"/>
              <w:bottom w:val="nil"/>
              <w:right w:val="nil"/>
            </w:tcBorders>
            <w:shd w:val="clear" w:color="auto" w:fill="FFFFFF" w:themeFill="background1"/>
          </w:tcPr>
          <w:p w14:paraId="3360DF30" w14:textId="41E5FE32" w:rsidR="00507F1E" w:rsidRDefault="00507F1E" w:rsidP="00E16F26">
            <w:pPr>
              <w:tabs>
                <w:tab w:val="decimal" w:pos="64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85.7</w:t>
            </w:r>
          </w:p>
        </w:tc>
        <w:tc>
          <w:tcPr>
            <w:tcW w:w="1620" w:type="dxa"/>
            <w:tcBorders>
              <w:top w:val="single" w:sz="4" w:space="0" w:color="000000" w:themeColor="text1"/>
              <w:left w:val="nil"/>
              <w:bottom w:val="nil"/>
              <w:right w:val="nil"/>
            </w:tcBorders>
            <w:shd w:val="clear" w:color="auto" w:fill="FFFFFF" w:themeFill="background1"/>
          </w:tcPr>
          <w:p w14:paraId="618DDEED" w14:textId="2F55A280" w:rsidR="00507F1E" w:rsidRDefault="00507F1E" w:rsidP="00E16F26">
            <w:pPr>
              <w:tabs>
                <w:tab w:val="decimal" w:pos="643"/>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82.5</w:t>
            </w:r>
          </w:p>
        </w:tc>
      </w:tr>
      <w:tr w:rsidR="00507F1E" w14:paraId="6B6FD7C4" w14:textId="1AAE2043" w:rsidTr="00E16F26">
        <w:tc>
          <w:tcPr>
            <w:cnfStyle w:val="001000000000" w:firstRow="0" w:lastRow="0" w:firstColumn="1" w:lastColumn="0" w:oddVBand="0" w:evenVBand="0" w:oddHBand="0" w:evenHBand="0" w:firstRowFirstColumn="0" w:firstRowLastColumn="0" w:lastRowFirstColumn="0" w:lastRowLastColumn="0"/>
            <w:tcW w:w="1599" w:type="dxa"/>
            <w:tcBorders>
              <w:bottom w:val="single" w:sz="4" w:space="0" w:color="000000" w:themeColor="text1"/>
              <w:right w:val="nil"/>
            </w:tcBorders>
          </w:tcPr>
          <w:p w14:paraId="26BF3676" w14:textId="77777777" w:rsidR="00507F1E" w:rsidRDefault="00507F1E" w:rsidP="00507F1E">
            <w:pPr>
              <w:rPr>
                <w:rFonts w:ascii="Calibri" w:hAnsi="Calibri" w:cs="Calibri"/>
                <w:color w:val="000000"/>
              </w:rPr>
            </w:pPr>
            <w:r>
              <w:rPr>
                <w:rFonts w:ascii="Calibri" w:hAnsi="Calibri" w:cs="Calibri"/>
                <w:color w:val="000000"/>
              </w:rPr>
              <w:t>Inter-rater</w:t>
            </w:r>
          </w:p>
          <w:p w14:paraId="109904EB" w14:textId="77777777" w:rsidR="00507F1E" w:rsidRDefault="00507F1E" w:rsidP="00507F1E">
            <w:pPr>
              <w:rPr>
                <w:rFonts w:ascii="Times New Roman" w:hAnsi="Times New Roman" w:cs="Times New Roman"/>
                <w:sz w:val="24"/>
                <w:szCs w:val="24"/>
              </w:rPr>
            </w:pPr>
            <w:r>
              <w:rPr>
                <w:rFonts w:ascii="Calibri" w:hAnsi="Calibri" w:cs="Calibri"/>
                <w:color w:val="000000"/>
              </w:rPr>
              <w:t>Reliability</w:t>
            </w:r>
          </w:p>
        </w:tc>
        <w:tc>
          <w:tcPr>
            <w:tcW w:w="1466" w:type="dxa"/>
            <w:tcBorders>
              <w:top w:val="nil"/>
              <w:left w:val="nil"/>
              <w:bottom w:val="single" w:sz="4" w:space="0" w:color="000000" w:themeColor="text1"/>
              <w:right w:val="nil"/>
            </w:tcBorders>
            <w:shd w:val="clear" w:color="auto" w:fill="FFFFFF" w:themeFill="background1"/>
          </w:tcPr>
          <w:p w14:paraId="595E59C0" w14:textId="75F42A19" w:rsidR="00507F1E" w:rsidRDefault="00507F1E" w:rsidP="00E16F26">
            <w:pPr>
              <w:tabs>
                <w:tab w:val="decimal" w:pos="6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98.8</w:t>
            </w:r>
          </w:p>
        </w:tc>
        <w:tc>
          <w:tcPr>
            <w:tcW w:w="1440" w:type="dxa"/>
            <w:tcBorders>
              <w:top w:val="nil"/>
              <w:left w:val="nil"/>
              <w:bottom w:val="single" w:sz="4" w:space="0" w:color="000000" w:themeColor="text1"/>
              <w:right w:val="nil"/>
            </w:tcBorders>
            <w:shd w:val="clear" w:color="auto" w:fill="FFFFFF" w:themeFill="background1"/>
          </w:tcPr>
          <w:p w14:paraId="13A6054D" w14:textId="1E1F45BC" w:rsidR="00507F1E" w:rsidRDefault="00507F1E" w:rsidP="00E16F26">
            <w:pPr>
              <w:tabs>
                <w:tab w:val="decimal" w:pos="6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100</w:t>
            </w:r>
          </w:p>
        </w:tc>
        <w:tc>
          <w:tcPr>
            <w:tcW w:w="1440" w:type="dxa"/>
            <w:tcBorders>
              <w:top w:val="nil"/>
              <w:left w:val="nil"/>
              <w:bottom w:val="single" w:sz="4" w:space="0" w:color="000000" w:themeColor="text1"/>
              <w:right w:val="nil"/>
            </w:tcBorders>
            <w:shd w:val="clear" w:color="auto" w:fill="FFFFFF" w:themeFill="background1"/>
          </w:tcPr>
          <w:p w14:paraId="632619B0" w14:textId="43A9B5EF" w:rsidR="00507F1E" w:rsidRDefault="00507F1E" w:rsidP="00E16F26">
            <w:pPr>
              <w:tabs>
                <w:tab w:val="decimal" w:pos="6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100</w:t>
            </w:r>
          </w:p>
        </w:tc>
        <w:tc>
          <w:tcPr>
            <w:tcW w:w="1260" w:type="dxa"/>
            <w:tcBorders>
              <w:top w:val="nil"/>
              <w:left w:val="nil"/>
              <w:bottom w:val="single" w:sz="4" w:space="0" w:color="000000" w:themeColor="text1"/>
              <w:right w:val="nil"/>
            </w:tcBorders>
            <w:shd w:val="clear" w:color="auto" w:fill="FFFFFF" w:themeFill="background1"/>
          </w:tcPr>
          <w:p w14:paraId="47B4500D" w14:textId="2CD5F493" w:rsidR="00507F1E" w:rsidRDefault="00507F1E" w:rsidP="00E16F26">
            <w:pPr>
              <w:tabs>
                <w:tab w:val="decimal" w:pos="64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100</w:t>
            </w:r>
          </w:p>
        </w:tc>
        <w:tc>
          <w:tcPr>
            <w:tcW w:w="1620" w:type="dxa"/>
            <w:tcBorders>
              <w:top w:val="nil"/>
              <w:left w:val="nil"/>
              <w:bottom w:val="single" w:sz="4" w:space="0" w:color="000000" w:themeColor="text1"/>
              <w:right w:val="nil"/>
            </w:tcBorders>
            <w:shd w:val="clear" w:color="auto" w:fill="FFFFFF" w:themeFill="background1"/>
          </w:tcPr>
          <w:p w14:paraId="25186EFA" w14:textId="27147EE0" w:rsidR="00507F1E" w:rsidRDefault="00507F1E" w:rsidP="00E16F26">
            <w:pPr>
              <w:tabs>
                <w:tab w:val="decimal" w:pos="643"/>
              </w:tabs>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99.7</w:t>
            </w:r>
          </w:p>
        </w:tc>
      </w:tr>
      <w:tr w:rsidR="00507F1E" w14:paraId="2BD6372A" w14:textId="35662EFC" w:rsidTr="00507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Borders>
              <w:top w:val="single" w:sz="4" w:space="0" w:color="000000" w:themeColor="text1"/>
              <w:bottom w:val="thinThickMediumGap" w:sz="24" w:space="0" w:color="000000" w:themeColor="text1"/>
              <w:right w:val="nil"/>
            </w:tcBorders>
          </w:tcPr>
          <w:p w14:paraId="3CB55A43" w14:textId="77777777" w:rsidR="00507F1E" w:rsidRDefault="00507F1E" w:rsidP="00507F1E">
            <w:pPr>
              <w:rPr>
                <w:rFonts w:ascii="Calibri" w:hAnsi="Calibri" w:cs="Calibri"/>
                <w:color w:val="000000"/>
              </w:rPr>
            </w:pPr>
            <w:r>
              <w:rPr>
                <w:rFonts w:ascii="Calibri" w:hAnsi="Calibri" w:cs="Calibri"/>
                <w:b/>
                <w:bCs/>
                <w:color w:val="000000"/>
              </w:rPr>
              <w:t>N</w:t>
            </w:r>
          </w:p>
        </w:tc>
        <w:tc>
          <w:tcPr>
            <w:tcW w:w="1466" w:type="dxa"/>
            <w:tcBorders>
              <w:top w:val="single" w:sz="4" w:space="0" w:color="000000" w:themeColor="text1"/>
              <w:left w:val="nil"/>
              <w:bottom w:val="thinThickMediumGap" w:sz="24" w:space="0" w:color="000000" w:themeColor="text1"/>
              <w:right w:val="nil"/>
            </w:tcBorders>
            <w:shd w:val="clear" w:color="auto" w:fill="FFFFFF" w:themeFill="background1"/>
            <w:vAlign w:val="bottom"/>
          </w:tcPr>
          <w:p w14:paraId="14549116" w14:textId="2D30C7D9" w:rsidR="00507F1E" w:rsidRDefault="00507F1E" w:rsidP="00D801EE">
            <w:pPr>
              <w:tabs>
                <w:tab w:val="decimal" w:pos="643"/>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35</w:t>
            </w:r>
          </w:p>
        </w:tc>
        <w:tc>
          <w:tcPr>
            <w:tcW w:w="1440" w:type="dxa"/>
            <w:tcBorders>
              <w:top w:val="single" w:sz="4" w:space="0" w:color="000000" w:themeColor="text1"/>
              <w:left w:val="nil"/>
              <w:bottom w:val="thinThickMediumGap" w:sz="24" w:space="0" w:color="000000" w:themeColor="text1"/>
              <w:right w:val="nil"/>
            </w:tcBorders>
            <w:shd w:val="clear" w:color="auto" w:fill="FFFFFF" w:themeFill="background1"/>
            <w:vAlign w:val="bottom"/>
          </w:tcPr>
          <w:p w14:paraId="0B4EBD2E" w14:textId="2D0985F4" w:rsidR="00507F1E" w:rsidRDefault="00507F1E" w:rsidP="00D801EE">
            <w:pPr>
              <w:tabs>
                <w:tab w:val="decimal" w:pos="643"/>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16</w:t>
            </w:r>
          </w:p>
        </w:tc>
        <w:tc>
          <w:tcPr>
            <w:tcW w:w="1440" w:type="dxa"/>
            <w:tcBorders>
              <w:top w:val="single" w:sz="4" w:space="0" w:color="000000" w:themeColor="text1"/>
              <w:left w:val="nil"/>
              <w:bottom w:val="thinThickMediumGap" w:sz="24" w:space="0" w:color="000000" w:themeColor="text1"/>
              <w:right w:val="nil"/>
            </w:tcBorders>
            <w:shd w:val="clear" w:color="auto" w:fill="FFFFFF" w:themeFill="background1"/>
            <w:vAlign w:val="bottom"/>
          </w:tcPr>
          <w:p w14:paraId="66BC4C6D" w14:textId="6C689E2B" w:rsidR="00507F1E" w:rsidRDefault="00507F1E" w:rsidP="00D801EE">
            <w:pPr>
              <w:tabs>
                <w:tab w:val="decimal" w:pos="643"/>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30</w:t>
            </w:r>
          </w:p>
        </w:tc>
        <w:tc>
          <w:tcPr>
            <w:tcW w:w="1260" w:type="dxa"/>
            <w:tcBorders>
              <w:top w:val="single" w:sz="4" w:space="0" w:color="000000" w:themeColor="text1"/>
              <w:left w:val="nil"/>
              <w:bottom w:val="thinThickMediumGap" w:sz="24" w:space="0" w:color="000000" w:themeColor="text1"/>
              <w:right w:val="nil"/>
            </w:tcBorders>
            <w:shd w:val="clear" w:color="auto" w:fill="FFFFFF" w:themeFill="background1"/>
            <w:vAlign w:val="bottom"/>
          </w:tcPr>
          <w:p w14:paraId="60CCCCB5" w14:textId="101493AE" w:rsidR="00507F1E" w:rsidRDefault="00507F1E" w:rsidP="00D801EE">
            <w:pPr>
              <w:tabs>
                <w:tab w:val="decimal" w:pos="643"/>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39</w:t>
            </w:r>
          </w:p>
        </w:tc>
        <w:tc>
          <w:tcPr>
            <w:tcW w:w="1620" w:type="dxa"/>
            <w:tcBorders>
              <w:top w:val="single" w:sz="4" w:space="0" w:color="000000" w:themeColor="text1"/>
              <w:left w:val="nil"/>
              <w:bottom w:val="thinThickMediumGap" w:sz="24" w:space="0" w:color="000000" w:themeColor="text1"/>
              <w:right w:val="nil"/>
            </w:tcBorders>
            <w:shd w:val="clear" w:color="auto" w:fill="FFFFFF" w:themeFill="background1"/>
            <w:vAlign w:val="bottom"/>
          </w:tcPr>
          <w:p w14:paraId="2C253BEF" w14:textId="00722F6A" w:rsidR="00507F1E" w:rsidRDefault="00507F1E" w:rsidP="00D801EE">
            <w:pPr>
              <w:tabs>
                <w:tab w:val="decimal" w:pos="643"/>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120</w:t>
            </w:r>
          </w:p>
        </w:tc>
      </w:tr>
    </w:tbl>
    <w:p w14:paraId="6860E35B" w14:textId="77777777" w:rsidR="00507F1E" w:rsidRPr="00D814ED" w:rsidRDefault="00507F1E" w:rsidP="00BB5DE5">
      <w:pPr>
        <w:spacing w:line="259" w:lineRule="auto"/>
        <w:rPr>
          <w:rFonts w:ascii="Times New Roman" w:hAnsi="Times New Roman" w:cs="Times New Roman"/>
          <w:sz w:val="24"/>
          <w:szCs w:val="24"/>
        </w:rPr>
      </w:pPr>
    </w:p>
    <w:p w14:paraId="070D9675" w14:textId="654BE9DD" w:rsidR="00BB5DE5" w:rsidRDefault="00BB5DE5" w:rsidP="00BB5DE5">
      <w:pPr>
        <w:spacing w:line="259" w:lineRule="auto"/>
        <w:rPr>
          <w:rFonts w:ascii="Times New Roman" w:hAnsi="Times New Roman" w:cs="Times New Roman"/>
          <w:b/>
          <w:sz w:val="28"/>
          <w:szCs w:val="28"/>
        </w:rPr>
      </w:pPr>
      <w:r w:rsidRPr="00BB5DE5">
        <w:rPr>
          <w:rFonts w:ascii="Times New Roman" w:hAnsi="Times New Roman" w:cs="Times New Roman"/>
          <w:b/>
          <w:sz w:val="28"/>
          <w:szCs w:val="28"/>
        </w:rPr>
        <w:t xml:space="preserve">Inter-rater reliability </w:t>
      </w:r>
    </w:p>
    <w:p w14:paraId="2C579DF4" w14:textId="442A9206" w:rsidR="00296CE4" w:rsidRDefault="00296CE4" w:rsidP="00BB5DE5">
      <w:pPr>
        <w:spacing w:line="259" w:lineRule="auto"/>
        <w:rPr>
          <w:rFonts w:ascii="Times New Roman" w:hAnsi="Times New Roman" w:cs="Times New Roman"/>
          <w:sz w:val="24"/>
          <w:szCs w:val="24"/>
        </w:rPr>
      </w:pPr>
      <w:r>
        <w:rPr>
          <w:rFonts w:ascii="Times New Roman" w:hAnsi="Times New Roman" w:cs="Times New Roman"/>
          <w:sz w:val="24"/>
          <w:szCs w:val="24"/>
        </w:rPr>
        <w:t>Two faculty members evaluated A3 outcome 1 and 2 and two different faculty members evaluated A3 outcomes 3 and 4</w:t>
      </w:r>
      <w:r w:rsidR="00F66257">
        <w:rPr>
          <w:rFonts w:ascii="Times New Roman" w:hAnsi="Times New Roman" w:cs="Times New Roman"/>
          <w:sz w:val="24"/>
          <w:szCs w:val="24"/>
        </w:rPr>
        <w:t xml:space="preserve">. A </w:t>
      </w:r>
      <w:r w:rsidR="00F77901">
        <w:rPr>
          <w:rFonts w:ascii="Times New Roman" w:hAnsi="Times New Roman" w:cs="Times New Roman"/>
          <w:sz w:val="24"/>
          <w:szCs w:val="24"/>
        </w:rPr>
        <w:t xml:space="preserve">third reviewer was not necessary for any student assignments in GE Area A3. </w:t>
      </w:r>
      <w:r w:rsidR="00F66257">
        <w:rPr>
          <w:rFonts w:ascii="Times New Roman" w:hAnsi="Times New Roman" w:cs="Times New Roman"/>
          <w:sz w:val="24"/>
          <w:szCs w:val="24"/>
        </w:rPr>
        <w:t>Given there were</w:t>
      </w:r>
      <w:r w:rsidR="00F77901">
        <w:rPr>
          <w:rFonts w:ascii="Times New Roman" w:hAnsi="Times New Roman" w:cs="Times New Roman"/>
          <w:sz w:val="24"/>
          <w:szCs w:val="24"/>
        </w:rPr>
        <w:t xml:space="preserve"> 1</w:t>
      </w:r>
      <w:r w:rsidR="00AF2920">
        <w:rPr>
          <w:rFonts w:ascii="Times New Roman" w:hAnsi="Times New Roman" w:cs="Times New Roman"/>
          <w:sz w:val="24"/>
          <w:szCs w:val="24"/>
        </w:rPr>
        <w:t>2</w:t>
      </w:r>
      <w:r w:rsidR="00F77901">
        <w:rPr>
          <w:rFonts w:ascii="Times New Roman" w:hAnsi="Times New Roman" w:cs="Times New Roman"/>
          <w:sz w:val="24"/>
          <w:szCs w:val="24"/>
        </w:rPr>
        <w:t>0 student</w:t>
      </w:r>
      <w:r w:rsidR="00AF2920">
        <w:rPr>
          <w:rFonts w:ascii="Times New Roman" w:hAnsi="Times New Roman" w:cs="Times New Roman"/>
          <w:sz w:val="24"/>
          <w:szCs w:val="24"/>
        </w:rPr>
        <w:t xml:space="preserve"> evaluations</w:t>
      </w:r>
      <w:r w:rsidR="00F77901">
        <w:rPr>
          <w:rFonts w:ascii="Times New Roman" w:hAnsi="Times New Roman" w:cs="Times New Roman"/>
          <w:sz w:val="24"/>
          <w:szCs w:val="24"/>
        </w:rPr>
        <w:t xml:space="preserve"> for learning outcomes in GE Area 3 and taking into account that there were actually seven separate criteria evaluated in all it is very </w:t>
      </w:r>
      <w:r w:rsidR="00F77901">
        <w:rPr>
          <w:rFonts w:ascii="Times New Roman" w:hAnsi="Times New Roman" w:cs="Times New Roman"/>
          <w:sz w:val="24"/>
          <w:szCs w:val="24"/>
        </w:rPr>
        <w:lastRenderedPageBreak/>
        <w:t xml:space="preserve">impressive that inter-rater reliability for all outcomes and criteria was </w:t>
      </w:r>
      <w:r w:rsidR="00AF2920">
        <w:rPr>
          <w:rFonts w:ascii="Times New Roman" w:hAnsi="Times New Roman" w:cs="Times New Roman"/>
          <w:sz w:val="24"/>
          <w:szCs w:val="24"/>
        </w:rPr>
        <w:t xml:space="preserve">nearly </w:t>
      </w:r>
      <w:r w:rsidR="00F77901">
        <w:rPr>
          <w:rFonts w:ascii="Times New Roman" w:hAnsi="Times New Roman" w:cs="Times New Roman"/>
          <w:sz w:val="24"/>
          <w:szCs w:val="24"/>
        </w:rPr>
        <w:t xml:space="preserve">100%. All faculty who evaluated A3 outcomes teach at least one GE course and two of the faculty evaluators teach courses in GE Area A3 which was being assessed. The faculty reviewing assignments in GE Area A3 went through the same “norming” process as all other faculty serving on the GE Assessment Sub-Committee and evaluating work but the inter-reliability rate was higher for GE Area A3 than for GE Areas A1 or A2. </w:t>
      </w:r>
    </w:p>
    <w:p w14:paraId="2FFDFB71" w14:textId="3D15AE04" w:rsidR="00E16F26" w:rsidRDefault="00E16F26" w:rsidP="00E16F26">
      <w:pPr>
        <w:spacing w:after="0" w:line="257" w:lineRule="auto"/>
        <w:contextualSpacing/>
        <w:rPr>
          <w:rFonts w:ascii="Times New Roman" w:hAnsi="Times New Roman" w:cs="Times New Roman"/>
          <w:b/>
          <w:bCs/>
          <w:sz w:val="24"/>
          <w:szCs w:val="24"/>
        </w:rPr>
      </w:pPr>
      <w:r w:rsidRPr="005A1AB2">
        <w:rPr>
          <w:rFonts w:ascii="Times New Roman" w:hAnsi="Times New Roman" w:cs="Times New Roman"/>
          <w:b/>
          <w:bCs/>
          <w:sz w:val="24"/>
          <w:szCs w:val="24"/>
        </w:rPr>
        <w:t>Figure 1. Graph of Student Proficiency and Inter-rater Reliability Averages</w:t>
      </w:r>
      <w:r>
        <w:rPr>
          <w:rFonts w:ascii="Times New Roman" w:hAnsi="Times New Roman" w:cs="Times New Roman"/>
          <w:b/>
          <w:bCs/>
          <w:sz w:val="24"/>
          <w:szCs w:val="24"/>
        </w:rPr>
        <w:t xml:space="preserve"> Area A3</w:t>
      </w:r>
    </w:p>
    <w:p w14:paraId="322C811B" w14:textId="6E16D2C6" w:rsidR="00E16F26" w:rsidRPr="005A1AB2" w:rsidRDefault="00E16F26" w:rsidP="00E16F26">
      <w:pPr>
        <w:spacing w:after="0" w:line="257" w:lineRule="auto"/>
        <w:contextualSpacing/>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CA0D828" wp14:editId="05485341">
            <wp:extent cx="4572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aA3.png"/>
                    <pic:cNvPicPr/>
                  </pic:nvPicPr>
                  <pic:blipFill>
                    <a:blip r:embed="rId5"/>
                    <a:stretch>
                      <a:fillRect/>
                    </a:stretch>
                  </pic:blipFill>
                  <pic:spPr>
                    <a:xfrm>
                      <a:off x="0" y="0"/>
                      <a:ext cx="4572000" cy="2743200"/>
                    </a:xfrm>
                    <a:prstGeom prst="rect">
                      <a:avLst/>
                    </a:prstGeom>
                  </pic:spPr>
                </pic:pic>
              </a:graphicData>
            </a:graphic>
          </wp:inline>
        </w:drawing>
      </w:r>
    </w:p>
    <w:p w14:paraId="77EEEC0F" w14:textId="23E2E1CE" w:rsidR="001E71FD" w:rsidRDefault="001E71FD" w:rsidP="00BB5DE5">
      <w:pPr>
        <w:spacing w:line="259" w:lineRule="auto"/>
        <w:rPr>
          <w:rFonts w:ascii="Times New Roman" w:hAnsi="Times New Roman" w:cs="Times New Roman"/>
          <w:sz w:val="24"/>
          <w:szCs w:val="24"/>
        </w:rPr>
      </w:pPr>
    </w:p>
    <w:p w14:paraId="51FD541B" w14:textId="77777777" w:rsidR="001E71FD" w:rsidRPr="00296CE4" w:rsidRDefault="001E71FD" w:rsidP="00BB5DE5">
      <w:pPr>
        <w:spacing w:line="259" w:lineRule="auto"/>
        <w:rPr>
          <w:rFonts w:ascii="Times New Roman" w:hAnsi="Times New Roman" w:cs="Times New Roman"/>
          <w:sz w:val="24"/>
          <w:szCs w:val="24"/>
        </w:rPr>
      </w:pPr>
    </w:p>
    <w:p w14:paraId="6B5BDABE" w14:textId="77777777" w:rsidR="00BB5DE5" w:rsidRPr="00BB5DE5" w:rsidRDefault="00BB5DE5" w:rsidP="00BB5DE5">
      <w:pPr>
        <w:spacing w:line="259" w:lineRule="auto"/>
        <w:rPr>
          <w:rFonts w:ascii="Times New Roman" w:hAnsi="Times New Roman" w:cs="Times New Roman"/>
          <w:b/>
          <w:sz w:val="28"/>
          <w:szCs w:val="28"/>
        </w:rPr>
      </w:pPr>
      <w:r w:rsidRPr="00BB5DE5">
        <w:rPr>
          <w:rFonts w:ascii="Times New Roman" w:hAnsi="Times New Roman" w:cs="Times New Roman"/>
          <w:b/>
          <w:sz w:val="28"/>
          <w:szCs w:val="28"/>
        </w:rPr>
        <w:t>Conclusions</w:t>
      </w:r>
    </w:p>
    <w:p w14:paraId="622F819C" w14:textId="3030BAE2" w:rsidR="00BB5DE5" w:rsidRPr="00FC7364" w:rsidRDefault="00F77901">
      <w:pPr>
        <w:rPr>
          <w:rFonts w:ascii="Times New Roman" w:hAnsi="Times New Roman" w:cs="Times New Roman"/>
          <w:sz w:val="24"/>
          <w:szCs w:val="24"/>
        </w:rPr>
      </w:pPr>
      <w:r>
        <w:rPr>
          <w:rFonts w:ascii="Times New Roman" w:hAnsi="Times New Roman" w:cs="Times New Roman"/>
          <w:sz w:val="24"/>
          <w:szCs w:val="24"/>
        </w:rPr>
        <w:t>While the benchmark of 90% was not met for any of the four outcomes in GE Area A3, students performed relatively well and more than 80% of students were proficient in</w:t>
      </w:r>
      <w:r w:rsidR="00571D1B">
        <w:rPr>
          <w:rFonts w:ascii="Times New Roman" w:hAnsi="Times New Roman" w:cs="Times New Roman"/>
          <w:sz w:val="24"/>
          <w:szCs w:val="24"/>
        </w:rPr>
        <w:t xml:space="preserve"> all criteria for</w:t>
      </w:r>
      <w:r>
        <w:rPr>
          <w:rFonts w:ascii="Times New Roman" w:hAnsi="Times New Roman" w:cs="Times New Roman"/>
          <w:sz w:val="24"/>
          <w:szCs w:val="24"/>
        </w:rPr>
        <w:t xml:space="preserve"> outcomes 2, 3, and 4. However, students performed significantly less well on outcome 1 which required them to either recognize, analyze, and eva</w:t>
      </w:r>
      <w:r w:rsidR="00571D1B">
        <w:rPr>
          <w:rFonts w:ascii="Times New Roman" w:hAnsi="Times New Roman" w:cs="Times New Roman"/>
          <w:sz w:val="24"/>
          <w:szCs w:val="24"/>
        </w:rPr>
        <w:t xml:space="preserve">luate or construct an argument. Only 69% of students were designated proficient in </w:t>
      </w:r>
      <w:r w:rsidR="00AF2920">
        <w:rPr>
          <w:rFonts w:ascii="Times New Roman" w:hAnsi="Times New Roman" w:cs="Times New Roman"/>
          <w:sz w:val="24"/>
          <w:szCs w:val="24"/>
        </w:rPr>
        <w:t xml:space="preserve">outcome one, </w:t>
      </w:r>
      <w:r w:rsidR="00571D1B">
        <w:rPr>
          <w:rFonts w:ascii="Times New Roman" w:hAnsi="Times New Roman" w:cs="Times New Roman"/>
          <w:sz w:val="24"/>
          <w:szCs w:val="24"/>
        </w:rPr>
        <w:t xml:space="preserve">criteria three which is the ability to evaluate an argument (or to connect evidence). Comments by reviewers indicate that students are unable to critically evaluate or construct an argument without weaknesses. An additional analysis of assignments aligned to GE Area A3 outcome 1 in order to see if an evaluation of a larger sample of work confirms the lower rate of proficiency in this outcome. This information should also be provided to all faculty and departments/programs who teach courses in GE Area A3. </w:t>
      </w:r>
    </w:p>
    <w:sectPr w:rsidR="00BB5DE5" w:rsidRPr="00FC736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CF8A8" w16cid:durableId="211CB1B3"/>
  <w16cid:commentId w16cid:paraId="46081110" w16cid:durableId="211CDE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79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99E4EB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5"/>
    <w:rsid w:val="00024EAC"/>
    <w:rsid w:val="000455A5"/>
    <w:rsid w:val="00054E79"/>
    <w:rsid w:val="000D34F9"/>
    <w:rsid w:val="000D6F45"/>
    <w:rsid w:val="0012242F"/>
    <w:rsid w:val="00174E0C"/>
    <w:rsid w:val="001B4E07"/>
    <w:rsid w:val="001D603E"/>
    <w:rsid w:val="001E4586"/>
    <w:rsid w:val="001E71FD"/>
    <w:rsid w:val="002029F7"/>
    <w:rsid w:val="00217F53"/>
    <w:rsid w:val="00290AE2"/>
    <w:rsid w:val="00296CE4"/>
    <w:rsid w:val="002F2F39"/>
    <w:rsid w:val="00310EC7"/>
    <w:rsid w:val="00322F09"/>
    <w:rsid w:val="003606D1"/>
    <w:rsid w:val="003706F3"/>
    <w:rsid w:val="003A5D0B"/>
    <w:rsid w:val="00427C6E"/>
    <w:rsid w:val="004E0646"/>
    <w:rsid w:val="004E0EA3"/>
    <w:rsid w:val="00507F1E"/>
    <w:rsid w:val="00523FC9"/>
    <w:rsid w:val="00543B0C"/>
    <w:rsid w:val="00560064"/>
    <w:rsid w:val="00571D1B"/>
    <w:rsid w:val="00585547"/>
    <w:rsid w:val="005D004D"/>
    <w:rsid w:val="006063E8"/>
    <w:rsid w:val="00625C28"/>
    <w:rsid w:val="00632F5D"/>
    <w:rsid w:val="0065670D"/>
    <w:rsid w:val="006B1696"/>
    <w:rsid w:val="00705263"/>
    <w:rsid w:val="00714265"/>
    <w:rsid w:val="0073710B"/>
    <w:rsid w:val="00747A3B"/>
    <w:rsid w:val="00772D00"/>
    <w:rsid w:val="008239A7"/>
    <w:rsid w:val="00860B03"/>
    <w:rsid w:val="00872985"/>
    <w:rsid w:val="008D4DA4"/>
    <w:rsid w:val="008E2A5F"/>
    <w:rsid w:val="008E5D56"/>
    <w:rsid w:val="00907EE3"/>
    <w:rsid w:val="00916858"/>
    <w:rsid w:val="00972F62"/>
    <w:rsid w:val="00A13E28"/>
    <w:rsid w:val="00A239D0"/>
    <w:rsid w:val="00A40C5F"/>
    <w:rsid w:val="00A65E35"/>
    <w:rsid w:val="00A70F92"/>
    <w:rsid w:val="00AD156E"/>
    <w:rsid w:val="00AF2920"/>
    <w:rsid w:val="00BB5DE5"/>
    <w:rsid w:val="00BC3D43"/>
    <w:rsid w:val="00BE7237"/>
    <w:rsid w:val="00BF5223"/>
    <w:rsid w:val="00C44947"/>
    <w:rsid w:val="00C909CC"/>
    <w:rsid w:val="00CE570F"/>
    <w:rsid w:val="00CE5A79"/>
    <w:rsid w:val="00D605BE"/>
    <w:rsid w:val="00D64573"/>
    <w:rsid w:val="00D801EE"/>
    <w:rsid w:val="00D814ED"/>
    <w:rsid w:val="00DB4305"/>
    <w:rsid w:val="00DC19A7"/>
    <w:rsid w:val="00DC1BB0"/>
    <w:rsid w:val="00DD264F"/>
    <w:rsid w:val="00DF6459"/>
    <w:rsid w:val="00E16F26"/>
    <w:rsid w:val="00E477FE"/>
    <w:rsid w:val="00EB2D68"/>
    <w:rsid w:val="00F2266E"/>
    <w:rsid w:val="00F36220"/>
    <w:rsid w:val="00F5105E"/>
    <w:rsid w:val="00F51FEA"/>
    <w:rsid w:val="00F66257"/>
    <w:rsid w:val="00F77901"/>
    <w:rsid w:val="00F84E0F"/>
    <w:rsid w:val="00FA47FB"/>
    <w:rsid w:val="00FC7364"/>
    <w:rsid w:val="00FE2D31"/>
    <w:rsid w:val="00FE4918"/>
    <w:rsid w:val="00FF7C03"/>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F33F0"/>
  <w15:docId w15:val="{6075F867-50D3-4208-8189-CEC778AC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3-Accent31">
    <w:name w:val="Grid Table 3 - Accent 31"/>
    <w:basedOn w:val="TableNormal"/>
    <w:uiPriority w:val="48"/>
    <w:rsid w:val="00507F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CommentReference">
    <w:name w:val="annotation reference"/>
    <w:basedOn w:val="DefaultParagraphFont"/>
    <w:uiPriority w:val="99"/>
    <w:semiHidden/>
    <w:unhideWhenUsed/>
    <w:rsid w:val="00290AE2"/>
    <w:rPr>
      <w:sz w:val="16"/>
      <w:szCs w:val="16"/>
    </w:rPr>
  </w:style>
  <w:style w:type="paragraph" w:styleId="CommentText">
    <w:name w:val="annotation text"/>
    <w:basedOn w:val="Normal"/>
    <w:link w:val="CommentTextChar"/>
    <w:uiPriority w:val="99"/>
    <w:semiHidden/>
    <w:unhideWhenUsed/>
    <w:rsid w:val="00290AE2"/>
    <w:pPr>
      <w:spacing w:line="240" w:lineRule="auto"/>
    </w:pPr>
    <w:rPr>
      <w:sz w:val="20"/>
      <w:szCs w:val="20"/>
    </w:rPr>
  </w:style>
  <w:style w:type="character" w:customStyle="1" w:styleId="CommentTextChar">
    <w:name w:val="Comment Text Char"/>
    <w:basedOn w:val="DefaultParagraphFont"/>
    <w:link w:val="CommentText"/>
    <w:uiPriority w:val="99"/>
    <w:semiHidden/>
    <w:rsid w:val="00290AE2"/>
    <w:rPr>
      <w:sz w:val="20"/>
      <w:szCs w:val="20"/>
    </w:rPr>
  </w:style>
  <w:style w:type="paragraph" w:styleId="CommentSubject">
    <w:name w:val="annotation subject"/>
    <w:basedOn w:val="CommentText"/>
    <w:next w:val="CommentText"/>
    <w:link w:val="CommentSubjectChar"/>
    <w:uiPriority w:val="99"/>
    <w:semiHidden/>
    <w:unhideWhenUsed/>
    <w:rsid w:val="00290AE2"/>
    <w:rPr>
      <w:b/>
      <w:bCs/>
    </w:rPr>
  </w:style>
  <w:style w:type="character" w:customStyle="1" w:styleId="CommentSubjectChar">
    <w:name w:val="Comment Subject Char"/>
    <w:basedOn w:val="CommentTextChar"/>
    <w:link w:val="CommentSubject"/>
    <w:uiPriority w:val="99"/>
    <w:semiHidden/>
    <w:rsid w:val="00290AE2"/>
    <w:rPr>
      <w:b/>
      <w:bCs/>
      <w:sz w:val="20"/>
      <w:szCs w:val="20"/>
    </w:rPr>
  </w:style>
  <w:style w:type="paragraph" w:styleId="BalloonText">
    <w:name w:val="Balloon Text"/>
    <w:basedOn w:val="Normal"/>
    <w:link w:val="BalloonTextChar"/>
    <w:uiPriority w:val="99"/>
    <w:semiHidden/>
    <w:unhideWhenUsed/>
    <w:rsid w:val="00290A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A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dcterms:created xsi:type="dcterms:W3CDTF">2020-01-21T22:30:00Z</dcterms:created>
  <dcterms:modified xsi:type="dcterms:W3CDTF">2020-01-21T22:30:00Z</dcterms:modified>
</cp:coreProperties>
</file>