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306CB" w14:textId="4454C8CE" w:rsidR="00A47CF0" w:rsidRDefault="0033271C" w:rsidP="00525653">
      <w:pPr>
        <w:jc w:val="center"/>
        <w:rPr>
          <w:rFonts w:ascii="Times New Roman" w:hAnsi="Times New Roman" w:cs="Times New Roman"/>
          <w:b/>
          <w:sz w:val="32"/>
          <w:szCs w:val="32"/>
        </w:rPr>
      </w:pPr>
      <w:r>
        <w:rPr>
          <w:rFonts w:ascii="Times New Roman" w:hAnsi="Times New Roman" w:cs="Times New Roman"/>
          <w:b/>
          <w:sz w:val="32"/>
          <w:szCs w:val="32"/>
        </w:rPr>
        <w:t>History M.A. Ass</w:t>
      </w:r>
      <w:r w:rsidR="000C0BBE" w:rsidRPr="000C0BBE">
        <w:rPr>
          <w:rFonts w:ascii="Times New Roman" w:hAnsi="Times New Roman" w:cs="Times New Roman"/>
          <w:b/>
          <w:sz w:val="32"/>
          <w:szCs w:val="32"/>
        </w:rPr>
        <w:t>essment</w:t>
      </w:r>
      <w:r w:rsidR="009E432B">
        <w:rPr>
          <w:rFonts w:ascii="Times New Roman" w:hAnsi="Times New Roman" w:cs="Times New Roman"/>
          <w:b/>
          <w:sz w:val="32"/>
          <w:szCs w:val="32"/>
        </w:rPr>
        <w:t xml:space="preserve"> Report for 2015-2016</w:t>
      </w:r>
    </w:p>
    <w:p w14:paraId="03A85D15" w14:textId="77777777" w:rsidR="00525653" w:rsidRPr="00525653" w:rsidRDefault="00525653" w:rsidP="00525653">
      <w:pPr>
        <w:jc w:val="center"/>
        <w:rPr>
          <w:rFonts w:ascii="Times New Roman" w:hAnsi="Times New Roman" w:cs="Times New Roman"/>
          <w:b/>
          <w:sz w:val="32"/>
          <w:szCs w:val="32"/>
        </w:rPr>
      </w:pPr>
    </w:p>
    <w:p w14:paraId="2D529D0D" w14:textId="03EC969A" w:rsidR="00597B26" w:rsidRPr="0033271C"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learning outcomes did you assess this year?</w:t>
      </w:r>
    </w:p>
    <w:p w14:paraId="555FC706" w14:textId="77777777" w:rsidR="009E432B" w:rsidRDefault="009E432B" w:rsidP="009E432B">
      <w:pPr>
        <w:rPr>
          <w:rFonts w:ascii="Times New Roman" w:hAnsi="Times New Roman" w:cs="Times New Roman"/>
          <w:b/>
          <w:sz w:val="24"/>
          <w:szCs w:val="24"/>
        </w:rPr>
      </w:pPr>
      <w:r>
        <w:rPr>
          <w:rFonts w:ascii="Times New Roman" w:hAnsi="Times New Roman" w:cs="Times New Roman"/>
          <w:b/>
          <w:sz w:val="24"/>
          <w:szCs w:val="24"/>
        </w:rPr>
        <w:t>Student Learning Outcome 1</w:t>
      </w:r>
      <w:r w:rsidR="00BF49EF" w:rsidRPr="00BF49EF">
        <w:rPr>
          <w:rFonts w:ascii="Times New Roman" w:hAnsi="Times New Roman" w:cs="Times New Roman"/>
          <w:b/>
          <w:sz w:val="24"/>
          <w:szCs w:val="24"/>
        </w:rPr>
        <w:t xml:space="preserve">: </w:t>
      </w:r>
      <w:r w:rsidRPr="009E432B">
        <w:rPr>
          <w:rFonts w:ascii="Times New Roman" w:hAnsi="Times New Roman" w:cs="Times New Roman"/>
          <w:sz w:val="24"/>
          <w:szCs w:val="24"/>
        </w:rPr>
        <w:t>Students will demonstrate advanced content knowledge in specified areas of concentration and also demonstrate mastery of historiographical debates related to the specified areas of concentration</w:t>
      </w:r>
      <w:r w:rsidRPr="009E432B">
        <w:rPr>
          <w:rFonts w:ascii="Times New Roman" w:hAnsi="Times New Roman" w:cs="Times New Roman"/>
          <w:b/>
          <w:sz w:val="24"/>
          <w:szCs w:val="24"/>
        </w:rPr>
        <w:t xml:space="preserve"> </w:t>
      </w:r>
    </w:p>
    <w:p w14:paraId="25C02014" w14:textId="28B6FB34" w:rsidR="005C6F20" w:rsidRPr="0033271C" w:rsidRDefault="009E432B" w:rsidP="0033271C">
      <w:pPr>
        <w:rPr>
          <w:rFonts w:ascii="Times New Roman" w:hAnsi="Times New Roman" w:cs="Times New Roman"/>
          <w:sz w:val="24"/>
          <w:szCs w:val="24"/>
        </w:rPr>
      </w:pPr>
      <w:r>
        <w:rPr>
          <w:rFonts w:ascii="Times New Roman" w:hAnsi="Times New Roman" w:cs="Times New Roman"/>
          <w:b/>
          <w:sz w:val="24"/>
          <w:szCs w:val="24"/>
        </w:rPr>
        <w:t>Student Learning Outcome 2</w:t>
      </w:r>
      <w:r w:rsidR="00BF49EF" w:rsidRPr="00BF49EF">
        <w:rPr>
          <w:rFonts w:ascii="Times New Roman" w:hAnsi="Times New Roman" w:cs="Times New Roman"/>
          <w:b/>
          <w:sz w:val="24"/>
          <w:szCs w:val="24"/>
        </w:rPr>
        <w:t>:</w:t>
      </w:r>
      <w:r w:rsidR="00BF49EF" w:rsidRPr="00BF49EF">
        <w:rPr>
          <w:rFonts w:ascii="Times New Roman" w:hAnsi="Times New Roman" w:cs="Times New Roman"/>
          <w:sz w:val="24"/>
          <w:szCs w:val="24"/>
        </w:rPr>
        <w:t xml:space="preserve"> </w:t>
      </w:r>
      <w:r w:rsidRPr="009E432B">
        <w:rPr>
          <w:rFonts w:ascii="Times New Roman" w:hAnsi="Times New Roman" w:cs="Times New Roman"/>
          <w:sz w:val="24"/>
          <w:szCs w:val="24"/>
        </w:rPr>
        <w:t>Students will identify relevant sources and use d</w:t>
      </w:r>
      <w:r w:rsidR="002F6BEC">
        <w:rPr>
          <w:rFonts w:ascii="Times New Roman" w:hAnsi="Times New Roman" w:cs="Times New Roman"/>
          <w:sz w:val="24"/>
          <w:szCs w:val="24"/>
        </w:rPr>
        <w:t xml:space="preserve">ata or information from sources </w:t>
      </w:r>
      <w:r w:rsidRPr="009E432B">
        <w:rPr>
          <w:rFonts w:ascii="Times New Roman" w:hAnsi="Times New Roman" w:cs="Times New Roman"/>
          <w:sz w:val="24"/>
          <w:szCs w:val="24"/>
        </w:rPr>
        <w:t>to support evidence based arguments.</w:t>
      </w:r>
    </w:p>
    <w:p w14:paraId="569B63AD" w14:textId="77777777" w:rsidR="00A47CF0" w:rsidRPr="00B40B98" w:rsidRDefault="00A47CF0" w:rsidP="00B40B98">
      <w:pPr>
        <w:spacing w:after="0" w:line="240" w:lineRule="auto"/>
        <w:rPr>
          <w:rFonts w:ascii="Times New Roman" w:hAnsi="Times New Roman" w:cs="Times New Roman"/>
          <w:b/>
          <w:sz w:val="24"/>
          <w:szCs w:val="24"/>
        </w:rPr>
      </w:pPr>
    </w:p>
    <w:p w14:paraId="224BB778" w14:textId="77777777"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instruments did you use to assess them?</w:t>
      </w:r>
    </w:p>
    <w:p w14:paraId="63D31722" w14:textId="0A3A7FE2" w:rsidR="00A47CF0" w:rsidRPr="0033271C" w:rsidRDefault="0093652C" w:rsidP="009675BD">
      <w:pPr>
        <w:ind w:left="360"/>
        <w:rPr>
          <w:rFonts w:ascii="Times New Roman" w:hAnsi="Times New Roman" w:cs="Times New Roman"/>
          <w:sz w:val="24"/>
          <w:szCs w:val="24"/>
        </w:rPr>
      </w:pPr>
      <w:r>
        <w:rPr>
          <w:rFonts w:ascii="Times New Roman" w:hAnsi="Times New Roman" w:cs="Times New Roman"/>
          <w:sz w:val="24"/>
          <w:szCs w:val="24"/>
        </w:rPr>
        <w:t>Research Paper</w:t>
      </w:r>
      <w:r w:rsidR="0033271C">
        <w:rPr>
          <w:rFonts w:ascii="Times New Roman" w:hAnsi="Times New Roman" w:cs="Times New Roman"/>
          <w:sz w:val="24"/>
          <w:szCs w:val="24"/>
        </w:rPr>
        <w:t xml:space="preserve"> – </w:t>
      </w:r>
      <w:r w:rsidR="0033271C" w:rsidRPr="009675BD">
        <w:rPr>
          <w:rFonts w:ascii="Times New Roman" w:hAnsi="Times New Roman" w:cs="Times New Roman"/>
          <w:b/>
          <w:bCs/>
          <w:sz w:val="24"/>
          <w:szCs w:val="24"/>
        </w:rPr>
        <w:t>HIST 200B. Introduction to Graduate</w:t>
      </w:r>
      <w:r w:rsidR="009675BD">
        <w:rPr>
          <w:rFonts w:ascii="Times New Roman" w:hAnsi="Times New Roman" w:cs="Times New Roman"/>
          <w:b/>
          <w:bCs/>
          <w:sz w:val="24"/>
          <w:szCs w:val="24"/>
        </w:rPr>
        <w:t xml:space="preserve"> Research and Historiography. </w:t>
      </w:r>
      <w:r w:rsidR="002F6BEC">
        <w:rPr>
          <w:rFonts w:ascii="Times New Roman" w:hAnsi="Times New Roman" w:cs="Times New Roman"/>
          <w:bCs/>
          <w:sz w:val="24"/>
          <w:szCs w:val="24"/>
        </w:rPr>
        <w:t>This course focuses on</w:t>
      </w:r>
      <w:r w:rsidR="0033271C" w:rsidRPr="009675BD">
        <w:rPr>
          <w:rFonts w:ascii="Times New Roman" w:hAnsi="Times New Roman" w:cs="Times New Roman"/>
          <w:sz w:val="24"/>
          <w:szCs w:val="24"/>
        </w:rPr>
        <w:t xml:space="preserve"> the methods</w:t>
      </w:r>
      <w:r w:rsidR="009675BD">
        <w:rPr>
          <w:rFonts w:ascii="Times New Roman" w:hAnsi="Times New Roman" w:cs="Times New Roman"/>
          <w:sz w:val="24"/>
          <w:szCs w:val="24"/>
        </w:rPr>
        <w:t xml:space="preserve"> and skills of graduate research and students are required to have pr</w:t>
      </w:r>
      <w:r w:rsidR="002F6BEC">
        <w:rPr>
          <w:rFonts w:ascii="Times New Roman" w:hAnsi="Times New Roman" w:cs="Times New Roman"/>
          <w:sz w:val="24"/>
          <w:szCs w:val="24"/>
        </w:rPr>
        <w:t xml:space="preserve">eviously </w:t>
      </w:r>
      <w:r w:rsidR="009675BD">
        <w:rPr>
          <w:rFonts w:ascii="Times New Roman" w:hAnsi="Times New Roman" w:cs="Times New Roman"/>
          <w:sz w:val="24"/>
          <w:szCs w:val="24"/>
        </w:rPr>
        <w:t xml:space="preserve">identified </w:t>
      </w:r>
      <w:r w:rsidR="002F6BEC">
        <w:rPr>
          <w:rFonts w:ascii="Times New Roman" w:hAnsi="Times New Roman" w:cs="Times New Roman"/>
          <w:sz w:val="24"/>
          <w:szCs w:val="24"/>
        </w:rPr>
        <w:t xml:space="preserve">either </w:t>
      </w:r>
      <w:r w:rsidR="009675BD">
        <w:rPr>
          <w:rFonts w:ascii="Times New Roman" w:hAnsi="Times New Roman" w:cs="Times New Roman"/>
          <w:sz w:val="24"/>
          <w:szCs w:val="24"/>
        </w:rPr>
        <w:t>a potential thesis topic or topics for the</w:t>
      </w:r>
      <w:r w:rsidR="002F6BEC">
        <w:rPr>
          <w:rFonts w:ascii="Times New Roman" w:hAnsi="Times New Roman" w:cs="Times New Roman"/>
          <w:sz w:val="24"/>
          <w:szCs w:val="24"/>
        </w:rPr>
        <w:t>ir</w:t>
      </w:r>
      <w:r w:rsidR="00D2364B">
        <w:rPr>
          <w:rFonts w:ascii="Times New Roman" w:hAnsi="Times New Roman" w:cs="Times New Roman"/>
          <w:sz w:val="24"/>
          <w:szCs w:val="24"/>
        </w:rPr>
        <w:t xml:space="preserve"> M.A. exam</w:t>
      </w:r>
      <w:r w:rsidR="00536912">
        <w:rPr>
          <w:rFonts w:ascii="Times New Roman" w:hAnsi="Times New Roman" w:cs="Times New Roman"/>
          <w:sz w:val="24"/>
          <w:szCs w:val="24"/>
        </w:rPr>
        <w:t>s</w:t>
      </w:r>
      <w:r w:rsidR="00D2364B">
        <w:rPr>
          <w:rFonts w:ascii="Times New Roman" w:hAnsi="Times New Roman" w:cs="Times New Roman"/>
          <w:sz w:val="24"/>
          <w:szCs w:val="24"/>
        </w:rPr>
        <w:t xml:space="preserve">. </w:t>
      </w:r>
      <w:r w:rsidR="002F6BEC">
        <w:rPr>
          <w:rFonts w:ascii="Times New Roman" w:hAnsi="Times New Roman" w:cs="Times New Roman"/>
          <w:sz w:val="24"/>
          <w:szCs w:val="24"/>
        </w:rPr>
        <w:t>In addition to the instructor, students also</w:t>
      </w:r>
      <w:r w:rsidR="00D2364B">
        <w:rPr>
          <w:rFonts w:ascii="Times New Roman" w:hAnsi="Times New Roman" w:cs="Times New Roman"/>
          <w:sz w:val="24"/>
          <w:szCs w:val="24"/>
        </w:rPr>
        <w:t xml:space="preserve"> consult with their thesis/exam</w:t>
      </w:r>
      <w:r w:rsidR="002F6BEC">
        <w:rPr>
          <w:rFonts w:ascii="Times New Roman" w:hAnsi="Times New Roman" w:cs="Times New Roman"/>
          <w:sz w:val="24"/>
          <w:szCs w:val="24"/>
        </w:rPr>
        <w:t xml:space="preserve"> advisor</w:t>
      </w:r>
      <w:r w:rsidR="00D2364B">
        <w:rPr>
          <w:rFonts w:ascii="Times New Roman" w:hAnsi="Times New Roman" w:cs="Times New Roman"/>
          <w:sz w:val="24"/>
          <w:szCs w:val="24"/>
        </w:rPr>
        <w:t xml:space="preserve"> as they conduct their research, write a brief analysis of relevant sources, and then write a major research paper. These papers are approximately fifteen pages, must include a thesis or argument, use sufficient evidence to support each point, and cite all sources in the appropriate format. The History Department uses a different rubric for graduate research papers since the expected level of content knowledge and expectations for the sophistication of the argument and use of evidence are significantly higher for graduate students.</w:t>
      </w:r>
      <w:r w:rsidR="00AB68FD">
        <w:rPr>
          <w:rFonts w:ascii="Times New Roman" w:hAnsi="Times New Roman" w:cs="Times New Roman"/>
          <w:sz w:val="24"/>
          <w:szCs w:val="24"/>
        </w:rPr>
        <w:t xml:space="preserve"> All fourteen students or 100% were expected to achieve a score of 2 out of 3 and demonstrate basic proficiency in</w:t>
      </w:r>
      <w:r w:rsidR="00EC3EE3">
        <w:rPr>
          <w:rFonts w:ascii="Times New Roman" w:hAnsi="Times New Roman" w:cs="Times New Roman"/>
          <w:sz w:val="24"/>
          <w:szCs w:val="24"/>
        </w:rPr>
        <w:t xml:space="preserve"> all five areas. Students take History 200B during th</w:t>
      </w:r>
      <w:r w:rsidR="00C2268D">
        <w:rPr>
          <w:rFonts w:ascii="Times New Roman" w:hAnsi="Times New Roman" w:cs="Times New Roman"/>
          <w:sz w:val="24"/>
          <w:szCs w:val="24"/>
        </w:rPr>
        <w:t>e second semester and thus we did not</w:t>
      </w:r>
      <w:r w:rsidR="00EC3EE3">
        <w:rPr>
          <w:rFonts w:ascii="Times New Roman" w:hAnsi="Times New Roman" w:cs="Times New Roman"/>
          <w:sz w:val="24"/>
          <w:szCs w:val="24"/>
        </w:rPr>
        <w:t xml:space="preserve"> expect all students to demonstrate advanced proficiency in all five of these areas in their History 200B papers. </w:t>
      </w:r>
      <w:r w:rsidR="00C2268D">
        <w:rPr>
          <w:rFonts w:ascii="Times New Roman" w:hAnsi="Times New Roman" w:cs="Times New Roman"/>
          <w:sz w:val="24"/>
          <w:szCs w:val="24"/>
        </w:rPr>
        <w:t>We predicted that some students might demonstrate advanced proficiency in at least one of the areas.</w:t>
      </w:r>
    </w:p>
    <w:p w14:paraId="342B6F36" w14:textId="77777777" w:rsidR="00A47CF0" w:rsidRPr="00A51BFE" w:rsidRDefault="00A47CF0" w:rsidP="00A47CF0">
      <w:pPr>
        <w:pStyle w:val="ListParagraph1"/>
        <w:spacing w:after="0"/>
        <w:ind w:left="0"/>
        <w:rPr>
          <w:rFonts w:ascii="Times New Roman" w:hAnsi="Times New Roman"/>
          <w:sz w:val="24"/>
          <w:szCs w:val="24"/>
        </w:rPr>
      </w:pPr>
    </w:p>
    <w:p w14:paraId="015627C3" w14:textId="77777777"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did you discover from the data</w:t>
      </w:r>
    </w:p>
    <w:p w14:paraId="61401FB5" w14:textId="77777777" w:rsidR="00475BE2" w:rsidRDefault="00475BE2" w:rsidP="00475BE2">
      <w:pPr>
        <w:pStyle w:val="ListParagraph"/>
        <w:rPr>
          <w:rFonts w:ascii="Times New Roman" w:hAnsi="Times New Roman" w:cs="Times New Roman"/>
          <w:b/>
          <w:sz w:val="24"/>
          <w:szCs w:val="24"/>
        </w:rPr>
      </w:pPr>
    </w:p>
    <w:p w14:paraId="22A41006" w14:textId="05A68685" w:rsidR="00DF10A1" w:rsidRDefault="0011074D" w:rsidP="00536912">
      <w:pPr>
        <w:rPr>
          <w:rFonts w:ascii="Times New Roman" w:hAnsi="Times New Roman"/>
          <w:sz w:val="24"/>
          <w:szCs w:val="24"/>
        </w:rPr>
      </w:pPr>
      <w:r>
        <w:rPr>
          <w:rFonts w:ascii="Times New Roman" w:hAnsi="Times New Roman" w:cs="Times New Roman"/>
          <w:sz w:val="24"/>
          <w:szCs w:val="24"/>
        </w:rPr>
        <w:t>There were fourteen students in History 200B</w:t>
      </w:r>
      <w:r w:rsidR="00EC3EE3">
        <w:rPr>
          <w:rFonts w:ascii="Times New Roman" w:hAnsi="Times New Roman" w:cs="Times New Roman"/>
          <w:sz w:val="24"/>
          <w:szCs w:val="24"/>
        </w:rPr>
        <w:t>,</w:t>
      </w:r>
      <w:r>
        <w:rPr>
          <w:rFonts w:ascii="Times New Roman" w:hAnsi="Times New Roman" w:cs="Times New Roman"/>
          <w:sz w:val="24"/>
          <w:szCs w:val="24"/>
        </w:rPr>
        <w:t xml:space="preserve"> during the Spring 2016 semester</w:t>
      </w:r>
      <w:r w:rsidR="00EC3EE3">
        <w:rPr>
          <w:rFonts w:ascii="Times New Roman" w:hAnsi="Times New Roman" w:cs="Times New Roman"/>
          <w:sz w:val="24"/>
          <w:szCs w:val="24"/>
        </w:rPr>
        <w:t>,</w:t>
      </w:r>
      <w:r>
        <w:rPr>
          <w:rFonts w:ascii="Times New Roman" w:hAnsi="Times New Roman" w:cs="Times New Roman"/>
          <w:sz w:val="24"/>
          <w:szCs w:val="24"/>
        </w:rPr>
        <w:t xml:space="preserve"> and all of their papers were reviewed. The rubric used to evaluate them focused on five key areas: c</w:t>
      </w:r>
      <w:r w:rsidR="003E7791">
        <w:rPr>
          <w:rFonts w:ascii="Times New Roman" w:hAnsi="Times New Roman" w:cs="Times New Roman"/>
          <w:sz w:val="24"/>
          <w:szCs w:val="24"/>
        </w:rPr>
        <w:t>ontext of and purpose f</w:t>
      </w:r>
      <w:r>
        <w:rPr>
          <w:rFonts w:ascii="Times New Roman" w:hAnsi="Times New Roman" w:cs="Times New Roman"/>
          <w:sz w:val="24"/>
          <w:szCs w:val="24"/>
        </w:rPr>
        <w:t>or writing, content development;</w:t>
      </w:r>
      <w:r w:rsidR="003E7791">
        <w:rPr>
          <w:rFonts w:ascii="Times New Roman" w:hAnsi="Times New Roman" w:cs="Times New Roman"/>
          <w:sz w:val="24"/>
          <w:szCs w:val="24"/>
        </w:rPr>
        <w:t xml:space="preserve"> gen</w:t>
      </w:r>
      <w:r>
        <w:rPr>
          <w:rFonts w:ascii="Times New Roman" w:hAnsi="Times New Roman" w:cs="Times New Roman"/>
          <w:sz w:val="24"/>
          <w:szCs w:val="24"/>
        </w:rPr>
        <w:t>re and disciplinary conventions;</w:t>
      </w:r>
      <w:r w:rsidR="00AB68FD">
        <w:rPr>
          <w:rFonts w:ascii="Times New Roman" w:hAnsi="Times New Roman" w:cs="Times New Roman"/>
          <w:sz w:val="24"/>
          <w:szCs w:val="24"/>
        </w:rPr>
        <w:t xml:space="preserve"> sources and evidence;</w:t>
      </w:r>
      <w:r w:rsidR="003E7791">
        <w:rPr>
          <w:rFonts w:ascii="Times New Roman" w:hAnsi="Times New Roman" w:cs="Times New Roman"/>
          <w:sz w:val="24"/>
          <w:szCs w:val="24"/>
        </w:rPr>
        <w:t xml:space="preserve"> and </w:t>
      </w:r>
      <w:r w:rsidR="00AB68FD">
        <w:rPr>
          <w:rFonts w:ascii="Times New Roman" w:hAnsi="Times New Roman" w:cs="Times New Roman"/>
          <w:sz w:val="24"/>
          <w:szCs w:val="24"/>
        </w:rPr>
        <w:t xml:space="preserve">control of syntax and mechanics. These papers were assessed using a </w:t>
      </w:r>
      <w:r w:rsidR="003E7791">
        <w:rPr>
          <w:rFonts w:ascii="Times New Roman" w:hAnsi="Times New Roman" w:cs="Times New Roman"/>
          <w:sz w:val="24"/>
          <w:szCs w:val="24"/>
        </w:rPr>
        <w:t>writing rubric</w:t>
      </w:r>
      <w:r w:rsidR="00AB68FD">
        <w:rPr>
          <w:rFonts w:ascii="Times New Roman" w:hAnsi="Times New Roman" w:cs="Times New Roman"/>
          <w:sz w:val="24"/>
          <w:szCs w:val="24"/>
        </w:rPr>
        <w:t xml:space="preserve"> that was modified to be appropriate for graduate level work</w:t>
      </w:r>
      <w:r w:rsidR="003E7791">
        <w:rPr>
          <w:rFonts w:ascii="Times New Roman" w:hAnsi="Times New Roman" w:cs="Times New Roman"/>
          <w:sz w:val="24"/>
          <w:szCs w:val="24"/>
        </w:rPr>
        <w:t>.</w:t>
      </w:r>
      <w:r w:rsidR="007A5BEC">
        <w:rPr>
          <w:rFonts w:ascii="Times New Roman" w:hAnsi="Times New Roman" w:cs="Times New Roman"/>
          <w:sz w:val="24"/>
          <w:szCs w:val="24"/>
        </w:rPr>
        <w:t xml:space="preserve"> </w:t>
      </w:r>
      <w:r w:rsidR="00AB68FD">
        <w:rPr>
          <w:rFonts w:ascii="Times New Roman" w:hAnsi="Times New Roman" w:cs="Times New Roman"/>
          <w:sz w:val="24"/>
          <w:szCs w:val="24"/>
        </w:rPr>
        <w:t>Th</w:t>
      </w:r>
      <w:r w:rsidR="00C2268D">
        <w:rPr>
          <w:rFonts w:ascii="Times New Roman" w:hAnsi="Times New Roman" w:cs="Times New Roman"/>
          <w:sz w:val="24"/>
          <w:szCs w:val="24"/>
        </w:rPr>
        <w:t xml:space="preserve">e scores given based on this rubric indicated that the student papers </w:t>
      </w:r>
      <w:r w:rsidR="00AB68FD">
        <w:rPr>
          <w:rFonts w:ascii="Times New Roman" w:hAnsi="Times New Roman" w:cs="Times New Roman"/>
          <w:sz w:val="24"/>
          <w:szCs w:val="24"/>
        </w:rPr>
        <w:t xml:space="preserve">demonstrating that </w:t>
      </w:r>
      <w:r w:rsidR="00C2268D">
        <w:rPr>
          <w:rFonts w:ascii="Times New Roman" w:hAnsi="Times New Roman" w:cs="Times New Roman"/>
          <w:sz w:val="24"/>
          <w:szCs w:val="24"/>
        </w:rPr>
        <w:t xml:space="preserve">the </w:t>
      </w:r>
      <w:r w:rsidR="00AB68FD">
        <w:rPr>
          <w:rFonts w:ascii="Times New Roman" w:hAnsi="Times New Roman" w:cs="Times New Roman"/>
          <w:sz w:val="24"/>
          <w:szCs w:val="24"/>
        </w:rPr>
        <w:t>student either had no</w:t>
      </w:r>
      <w:r w:rsidR="00C2268D">
        <w:rPr>
          <w:rFonts w:ascii="Times New Roman" w:hAnsi="Times New Roman" w:cs="Times New Roman"/>
          <w:sz w:val="24"/>
          <w:szCs w:val="24"/>
        </w:rPr>
        <w:t xml:space="preserve"> discernable profici</w:t>
      </w:r>
      <w:r w:rsidR="00FD7EF2">
        <w:rPr>
          <w:rFonts w:ascii="Times New Roman" w:hAnsi="Times New Roman" w:cs="Times New Roman"/>
          <w:sz w:val="24"/>
          <w:szCs w:val="24"/>
        </w:rPr>
        <w:t>ency, basic proficiency, or advanced proficiency in each of the five key areas.</w:t>
      </w:r>
      <w:r w:rsidR="00AB68FD">
        <w:rPr>
          <w:rFonts w:ascii="Times New Roman" w:hAnsi="Times New Roman" w:cs="Times New Roman"/>
          <w:sz w:val="24"/>
          <w:szCs w:val="24"/>
        </w:rPr>
        <w:t xml:space="preserve"> </w:t>
      </w:r>
      <w:r w:rsidR="00AB68FD">
        <w:rPr>
          <w:rFonts w:ascii="Times New Roman" w:hAnsi="Times New Roman" w:cs="Times New Roman"/>
          <w:sz w:val="24"/>
          <w:szCs w:val="24"/>
        </w:rPr>
        <w:lastRenderedPageBreak/>
        <w:t>A</w:t>
      </w:r>
      <w:r w:rsidR="0089202E">
        <w:rPr>
          <w:rFonts w:ascii="Times New Roman" w:hAnsi="Times New Roman" w:cs="Times New Roman"/>
          <w:sz w:val="24"/>
          <w:szCs w:val="24"/>
        </w:rPr>
        <w:t xml:space="preserve">ll </w:t>
      </w:r>
      <w:r w:rsidR="00AB68FD">
        <w:rPr>
          <w:rFonts w:ascii="Times New Roman" w:hAnsi="Times New Roman" w:cs="Times New Roman"/>
          <w:sz w:val="24"/>
          <w:szCs w:val="24"/>
        </w:rPr>
        <w:t>fourteen students scored</w:t>
      </w:r>
      <w:r w:rsidR="0089202E">
        <w:rPr>
          <w:rFonts w:ascii="Times New Roman" w:hAnsi="Times New Roman" w:cs="Times New Roman"/>
          <w:sz w:val="24"/>
          <w:szCs w:val="24"/>
        </w:rPr>
        <w:t xml:space="preserve"> </w:t>
      </w:r>
      <w:r w:rsidR="00AB68FD">
        <w:rPr>
          <w:rFonts w:ascii="Times New Roman" w:hAnsi="Times New Roman" w:cs="Times New Roman"/>
          <w:sz w:val="24"/>
          <w:szCs w:val="24"/>
        </w:rPr>
        <w:t xml:space="preserve">a 2 or </w:t>
      </w:r>
      <w:r w:rsidR="0089202E">
        <w:rPr>
          <w:rFonts w:ascii="Times New Roman" w:hAnsi="Times New Roman" w:cs="Times New Roman"/>
          <w:sz w:val="24"/>
          <w:szCs w:val="24"/>
        </w:rPr>
        <w:t>basic proficiency in all areas</w:t>
      </w:r>
      <w:r w:rsidR="00AB68FD">
        <w:rPr>
          <w:rFonts w:ascii="Times New Roman" w:hAnsi="Times New Roman" w:cs="Times New Roman"/>
          <w:sz w:val="24"/>
          <w:szCs w:val="24"/>
        </w:rPr>
        <w:t xml:space="preserve"> </w:t>
      </w:r>
      <w:r w:rsidR="00C2268D">
        <w:rPr>
          <w:rFonts w:ascii="Times New Roman" w:hAnsi="Times New Roman" w:cs="Times New Roman"/>
          <w:sz w:val="24"/>
          <w:szCs w:val="24"/>
        </w:rPr>
        <w:t xml:space="preserve">and thus the benchmark was met. The department had expected that a few students might demonstrate advanced proficiency but none did so on these papers. Furthermore, </w:t>
      </w:r>
      <w:r w:rsidR="00AC41A5">
        <w:rPr>
          <w:rFonts w:ascii="Times New Roman" w:hAnsi="Times New Roman" w:cs="Times New Roman"/>
          <w:sz w:val="24"/>
          <w:szCs w:val="24"/>
        </w:rPr>
        <w:t xml:space="preserve">although </w:t>
      </w:r>
      <w:r w:rsidR="00C2268D">
        <w:rPr>
          <w:rFonts w:ascii="Times New Roman" w:hAnsi="Times New Roman" w:cs="Times New Roman"/>
          <w:sz w:val="24"/>
          <w:szCs w:val="24"/>
        </w:rPr>
        <w:t xml:space="preserve">all of the students were deemed minimally proficient the papers were weakest in the area of </w:t>
      </w:r>
      <w:r w:rsidR="00AC41A5">
        <w:rPr>
          <w:rFonts w:ascii="Times New Roman" w:hAnsi="Times New Roman" w:cs="Times New Roman"/>
          <w:sz w:val="24"/>
          <w:szCs w:val="24"/>
        </w:rPr>
        <w:t xml:space="preserve">writing (syntax and grammar) with most papers including too many writing errors. Some of the papers were also weaker in the area of sources and evidence, </w:t>
      </w:r>
      <w:r w:rsidR="0099538D">
        <w:rPr>
          <w:rFonts w:ascii="Times New Roman" w:hAnsi="Times New Roman" w:cs="Times New Roman"/>
          <w:sz w:val="24"/>
          <w:szCs w:val="24"/>
        </w:rPr>
        <w:t xml:space="preserve">which is </w:t>
      </w:r>
      <w:r w:rsidR="00525653">
        <w:rPr>
          <w:rFonts w:ascii="Times New Roman" w:hAnsi="Times New Roman" w:cs="Times New Roman"/>
          <w:sz w:val="24"/>
          <w:szCs w:val="24"/>
        </w:rPr>
        <w:t>one of the most challengi</w:t>
      </w:r>
      <w:r w:rsidR="00C2268D">
        <w:rPr>
          <w:rFonts w:ascii="Times New Roman" w:hAnsi="Times New Roman" w:cs="Times New Roman"/>
          <w:sz w:val="24"/>
          <w:szCs w:val="24"/>
        </w:rPr>
        <w:t xml:space="preserve">ng aspects of historical research and </w:t>
      </w:r>
      <w:r w:rsidR="0099538D">
        <w:rPr>
          <w:rFonts w:ascii="Times New Roman" w:hAnsi="Times New Roman" w:cs="Times New Roman"/>
          <w:sz w:val="24"/>
          <w:szCs w:val="24"/>
        </w:rPr>
        <w:t>writing</w:t>
      </w:r>
      <w:r w:rsidR="00C2268D">
        <w:rPr>
          <w:rFonts w:ascii="Times New Roman" w:hAnsi="Times New Roman" w:cs="Times New Roman"/>
          <w:sz w:val="24"/>
          <w:szCs w:val="24"/>
        </w:rPr>
        <w:t>. S</w:t>
      </w:r>
      <w:r w:rsidR="00DA6B03">
        <w:rPr>
          <w:rFonts w:ascii="Times New Roman" w:hAnsi="Times New Roman" w:cs="Times New Roman"/>
          <w:sz w:val="24"/>
          <w:szCs w:val="24"/>
        </w:rPr>
        <w:t xml:space="preserve">tudents </w:t>
      </w:r>
      <w:r w:rsidR="00AC41A5">
        <w:rPr>
          <w:rFonts w:ascii="Times New Roman" w:hAnsi="Times New Roman" w:cs="Times New Roman"/>
          <w:sz w:val="24"/>
          <w:szCs w:val="24"/>
        </w:rPr>
        <w:t>provided sufficient evidence but some</w:t>
      </w:r>
      <w:r w:rsidR="00C2268D">
        <w:rPr>
          <w:rFonts w:ascii="Times New Roman" w:hAnsi="Times New Roman" w:cs="Times New Roman"/>
          <w:sz w:val="24"/>
          <w:szCs w:val="24"/>
        </w:rPr>
        <w:t xml:space="preserve"> students</w:t>
      </w:r>
      <w:r w:rsidR="00AC41A5">
        <w:rPr>
          <w:rFonts w:ascii="Times New Roman" w:hAnsi="Times New Roman" w:cs="Times New Roman"/>
          <w:sz w:val="24"/>
          <w:szCs w:val="24"/>
        </w:rPr>
        <w:t xml:space="preserve"> d</w:t>
      </w:r>
      <w:r w:rsidR="00C2268D">
        <w:rPr>
          <w:rFonts w:ascii="Times New Roman" w:hAnsi="Times New Roman" w:cs="Times New Roman"/>
          <w:sz w:val="24"/>
          <w:szCs w:val="24"/>
        </w:rPr>
        <w:t>id not use as many sources as they could have</w:t>
      </w:r>
      <w:r w:rsidR="0099538D">
        <w:rPr>
          <w:rFonts w:ascii="Times New Roman" w:hAnsi="Times New Roman" w:cs="Times New Roman"/>
          <w:sz w:val="24"/>
          <w:szCs w:val="24"/>
        </w:rPr>
        <w:t>,</w:t>
      </w:r>
      <w:r w:rsidR="00C2268D">
        <w:rPr>
          <w:rFonts w:ascii="Times New Roman" w:hAnsi="Times New Roman" w:cs="Times New Roman"/>
          <w:sz w:val="24"/>
          <w:szCs w:val="24"/>
        </w:rPr>
        <w:t xml:space="preserve"> nor were the</w:t>
      </w:r>
      <w:r w:rsidR="0099538D">
        <w:rPr>
          <w:rFonts w:ascii="Times New Roman" w:hAnsi="Times New Roman" w:cs="Times New Roman"/>
          <w:sz w:val="24"/>
          <w:szCs w:val="24"/>
        </w:rPr>
        <w:t>ir</w:t>
      </w:r>
      <w:r w:rsidR="00C2268D">
        <w:rPr>
          <w:rFonts w:ascii="Times New Roman" w:hAnsi="Times New Roman" w:cs="Times New Roman"/>
          <w:sz w:val="24"/>
          <w:szCs w:val="24"/>
        </w:rPr>
        <w:t xml:space="preserve"> sources as diverse </w:t>
      </w:r>
      <w:r w:rsidR="0099538D">
        <w:rPr>
          <w:rFonts w:ascii="Times New Roman" w:hAnsi="Times New Roman" w:cs="Times New Roman"/>
          <w:sz w:val="24"/>
          <w:szCs w:val="24"/>
        </w:rPr>
        <w:t>as they should be</w:t>
      </w:r>
      <w:r w:rsidR="00AC41A5">
        <w:rPr>
          <w:rFonts w:ascii="Times New Roman" w:hAnsi="Times New Roman" w:cs="Times New Roman"/>
          <w:sz w:val="24"/>
          <w:szCs w:val="24"/>
        </w:rPr>
        <w:t>. All fourteen papers not only demonstrated basic proficiency in content development and disciplinary conventions</w:t>
      </w:r>
      <w:r w:rsidR="00525653">
        <w:rPr>
          <w:rFonts w:ascii="Times New Roman" w:hAnsi="Times New Roman" w:cs="Times New Roman"/>
          <w:sz w:val="24"/>
          <w:szCs w:val="24"/>
        </w:rPr>
        <w:t xml:space="preserve"> but these were the strongest areas in the History 200B papers. </w:t>
      </w:r>
      <w:proofErr w:type="gramStart"/>
      <w:r w:rsidR="00525653">
        <w:rPr>
          <w:rFonts w:ascii="Times New Roman" w:hAnsi="Times New Roman" w:cs="Times New Roman"/>
          <w:sz w:val="24"/>
          <w:szCs w:val="24"/>
        </w:rPr>
        <w:t>Students</w:t>
      </w:r>
      <w:proofErr w:type="gramEnd"/>
      <w:r w:rsidR="00525653">
        <w:rPr>
          <w:rFonts w:ascii="Times New Roman" w:hAnsi="Times New Roman" w:cs="Times New Roman"/>
          <w:sz w:val="24"/>
          <w:szCs w:val="24"/>
        </w:rPr>
        <w:t xml:space="preserve"> demonstrated considerable content knowledge, their writing style was appropriate for historical papers, and included appropriate citations in the required format. It is expected that students will continue to develop and improve in all areas and thus be able to demonstrate advanced proficiency in their culminating projects.</w:t>
      </w:r>
    </w:p>
    <w:p w14:paraId="0B078169" w14:textId="77777777" w:rsidR="00DA30E7" w:rsidRPr="00597B26" w:rsidRDefault="00DA30E7" w:rsidP="00E64519">
      <w:pPr>
        <w:pStyle w:val="ListParagraph"/>
        <w:rPr>
          <w:rFonts w:ascii="Times New Roman" w:hAnsi="Times New Roman" w:cs="Times New Roman"/>
          <w:sz w:val="24"/>
          <w:szCs w:val="24"/>
        </w:rPr>
      </w:pPr>
    </w:p>
    <w:p w14:paraId="39FC5AB5" w14:textId="77777777" w:rsidR="00D26888" w:rsidRPr="00C82307"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changes did you make as a result of the findings?</w:t>
      </w:r>
    </w:p>
    <w:p w14:paraId="022A852E" w14:textId="18385655" w:rsidR="00525653" w:rsidRPr="00525653" w:rsidRDefault="00525653" w:rsidP="00525653">
      <w:pPr>
        <w:rPr>
          <w:rFonts w:ascii="Times New Roman" w:hAnsi="Times New Roman" w:cs="Times New Roman"/>
          <w:sz w:val="24"/>
          <w:szCs w:val="24"/>
        </w:rPr>
      </w:pPr>
      <w:r>
        <w:rPr>
          <w:rFonts w:ascii="Times New Roman" w:hAnsi="Times New Roman" w:cs="Times New Roman"/>
          <w:sz w:val="24"/>
          <w:szCs w:val="24"/>
        </w:rPr>
        <w:t xml:space="preserve">All fourteen students met the benchmark in all five areas and thus no changes to the assigned paper or graduate curriculum were deemed necessary at this time. The History department had already planned to review the graduate SOAP again this semester and to update the assessment time-line with activities for the next five years and this will be discussed at the second graduate committee meeting of the semester. Furthermore, the department has been collecting and distributing the student assignments by hand up to this point and the department will discuss the possibility of collecting and maintaining a digital collection of graduate student work again and the recommendation of the graduate committee will be an agenda item at a department meeting.  </w:t>
      </w:r>
    </w:p>
    <w:p w14:paraId="1B0ED8D4" w14:textId="77777777" w:rsidR="009E40C4" w:rsidRPr="006F1081" w:rsidRDefault="009E40C4" w:rsidP="00EC4E56">
      <w:pPr>
        <w:pStyle w:val="ListParagraph"/>
        <w:rPr>
          <w:rFonts w:ascii="Times New Roman" w:hAnsi="Times New Roman" w:cs="Times New Roman"/>
          <w:sz w:val="24"/>
          <w:szCs w:val="24"/>
        </w:rPr>
      </w:pPr>
    </w:p>
    <w:p w14:paraId="23A0FEE1" w14:textId="77777777" w:rsidR="00597B26"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assessment activities will y</w:t>
      </w:r>
      <w:r w:rsidR="00BF49EF">
        <w:rPr>
          <w:rFonts w:ascii="Times New Roman" w:hAnsi="Times New Roman" w:cs="Times New Roman"/>
          <w:b/>
          <w:sz w:val="24"/>
          <w:szCs w:val="24"/>
        </w:rPr>
        <w:t>ou be conducting in the 2015-2016</w:t>
      </w:r>
      <w:r w:rsidRPr="00C82307">
        <w:rPr>
          <w:rFonts w:ascii="Times New Roman" w:hAnsi="Times New Roman" w:cs="Times New Roman"/>
          <w:b/>
          <w:sz w:val="24"/>
          <w:szCs w:val="24"/>
        </w:rPr>
        <w:t xml:space="preserve"> academic year?</w:t>
      </w:r>
    </w:p>
    <w:p w14:paraId="0EDFBE49" w14:textId="77777777" w:rsidR="00A51BFE" w:rsidRDefault="00A51BFE" w:rsidP="00A51BFE">
      <w:pPr>
        <w:pStyle w:val="ListParagraph"/>
        <w:ind w:left="1080"/>
        <w:rPr>
          <w:rFonts w:ascii="Times New Roman" w:hAnsi="Times New Roman" w:cs="Times New Roman"/>
          <w:sz w:val="24"/>
          <w:szCs w:val="24"/>
        </w:rPr>
      </w:pPr>
    </w:p>
    <w:p w14:paraId="3893B995" w14:textId="7DD215C9" w:rsidR="00133E24" w:rsidRDefault="0011074D" w:rsidP="00A51BFE">
      <w:pPr>
        <w:pStyle w:val="ListParagraph"/>
        <w:ind w:left="1080"/>
        <w:rPr>
          <w:rFonts w:ascii="Times New Roman" w:hAnsi="Times New Roman" w:cs="Times New Roman"/>
          <w:sz w:val="24"/>
          <w:szCs w:val="24"/>
        </w:rPr>
      </w:pPr>
      <w:r>
        <w:rPr>
          <w:rFonts w:ascii="Times New Roman" w:hAnsi="Times New Roman" w:cs="Times New Roman"/>
          <w:sz w:val="24"/>
          <w:szCs w:val="24"/>
        </w:rPr>
        <w:t>Review M.A. Theses (citations and bibliographies for information literacy)</w:t>
      </w:r>
    </w:p>
    <w:p w14:paraId="16435269" w14:textId="77777777" w:rsidR="00133E24" w:rsidRPr="00A51BFE" w:rsidRDefault="00133E24" w:rsidP="00A51BFE">
      <w:pPr>
        <w:pStyle w:val="ListParagraph"/>
        <w:ind w:left="1080"/>
        <w:rPr>
          <w:rFonts w:ascii="Times New Roman" w:hAnsi="Times New Roman" w:cs="Times New Roman"/>
          <w:sz w:val="24"/>
          <w:szCs w:val="24"/>
        </w:rPr>
      </w:pPr>
    </w:p>
    <w:p w14:paraId="503598E2" w14:textId="550E79EC" w:rsidR="00536912" w:rsidRPr="00525653" w:rsidRDefault="00597B26" w:rsidP="00525653">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progress have you made on items from your last program review action plan?</w:t>
      </w:r>
    </w:p>
    <w:p w14:paraId="3337012D" w14:textId="77777777" w:rsidR="00536912" w:rsidRDefault="00536912" w:rsidP="00536912">
      <w:pPr>
        <w:spacing w:after="0"/>
        <w:rPr>
          <w:rFonts w:ascii="Times New Roman" w:hAnsi="Times New Roman" w:cs="Times New Roman"/>
          <w:sz w:val="24"/>
          <w:szCs w:val="24"/>
        </w:rPr>
      </w:pPr>
    </w:p>
    <w:p w14:paraId="6034E47A" w14:textId="77777777" w:rsidR="00536912" w:rsidRPr="002032DC" w:rsidRDefault="00536912" w:rsidP="00536912">
      <w:pPr>
        <w:spacing w:after="0"/>
        <w:rPr>
          <w:rFonts w:ascii="Times New Roman" w:hAnsi="Times New Roman" w:cs="Times New Roman"/>
          <w:sz w:val="24"/>
          <w:szCs w:val="24"/>
        </w:rPr>
      </w:pPr>
      <w:r w:rsidRPr="002032DC">
        <w:rPr>
          <w:rFonts w:ascii="Times New Roman" w:hAnsi="Times New Roman" w:cs="Times New Roman"/>
          <w:sz w:val="24"/>
          <w:szCs w:val="24"/>
        </w:rPr>
        <w:t>August, 2015</w:t>
      </w:r>
      <w:r>
        <w:rPr>
          <w:rFonts w:ascii="Times New Roman" w:hAnsi="Times New Roman" w:cs="Times New Roman"/>
          <w:sz w:val="24"/>
          <w:szCs w:val="24"/>
        </w:rPr>
        <w:t xml:space="preserve">: </w:t>
      </w:r>
      <w:r w:rsidRPr="002032DC">
        <w:rPr>
          <w:rFonts w:ascii="Times New Roman" w:hAnsi="Times New Roman" w:cs="Times New Roman"/>
          <w:sz w:val="24"/>
          <w:szCs w:val="24"/>
        </w:rPr>
        <w:t xml:space="preserve">This Action Plan reflects the fact that we have already accomplished some of the items mentioned in our review.  </w:t>
      </w:r>
    </w:p>
    <w:p w14:paraId="682E00F2" w14:textId="77777777" w:rsidR="00536912" w:rsidRPr="002032DC" w:rsidRDefault="00536912" w:rsidP="00536912">
      <w:pPr>
        <w:spacing w:after="0"/>
        <w:rPr>
          <w:rFonts w:ascii="Times New Roman" w:hAnsi="Times New Roman" w:cs="Times New Roman"/>
          <w:sz w:val="24"/>
          <w:szCs w:val="24"/>
        </w:rPr>
      </w:pPr>
    </w:p>
    <w:p w14:paraId="47E741F1" w14:textId="77777777"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Assessment for both undergraduate and graduate degree programs has been improved.</w:t>
      </w:r>
    </w:p>
    <w:p w14:paraId="0DD9A853" w14:textId="64F29902"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 xml:space="preserve">We successfully hired Dr. Frederik </w:t>
      </w:r>
      <w:proofErr w:type="spellStart"/>
      <w:r w:rsidRPr="002032DC">
        <w:rPr>
          <w:rFonts w:ascii="Times New Roman" w:hAnsi="Times New Roman" w:cs="Times New Roman"/>
          <w:sz w:val="24"/>
          <w:szCs w:val="24"/>
        </w:rPr>
        <w:t>Vermote</w:t>
      </w:r>
      <w:proofErr w:type="spellEnd"/>
      <w:r w:rsidR="00525653">
        <w:rPr>
          <w:rFonts w:ascii="Times New Roman" w:hAnsi="Times New Roman" w:cs="Times New Roman"/>
          <w:sz w:val="24"/>
          <w:szCs w:val="24"/>
        </w:rPr>
        <w:t xml:space="preserve"> </w:t>
      </w:r>
      <w:r w:rsidRPr="002032DC">
        <w:rPr>
          <w:rFonts w:ascii="Times New Roman" w:hAnsi="Times New Roman" w:cs="Times New Roman"/>
          <w:sz w:val="24"/>
          <w:szCs w:val="24"/>
        </w:rPr>
        <w:t xml:space="preserve">for our Asian history position and we have formalized Dr. Lopes’ position as our historian of Mexico. During the 2015-2016 academic year the department will conduct searches for a public historian who can </w:t>
      </w:r>
      <w:r w:rsidRPr="002032DC">
        <w:rPr>
          <w:rFonts w:ascii="Times New Roman" w:hAnsi="Times New Roman" w:cs="Times New Roman"/>
          <w:sz w:val="24"/>
          <w:szCs w:val="24"/>
        </w:rPr>
        <w:lastRenderedPageBreak/>
        <w:t>increase interaction with and outreach to the community and an Islamic historian who would enable the department to increase its non-western offerings.</w:t>
      </w:r>
    </w:p>
    <w:p w14:paraId="721B2F99" w14:textId="77777777"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The department chair reviews all syllabi each semester for compliance with university standards. The department has reviewed the syllabi of all part-time faculty to be sure that they have appropriate learning outcomes in addition to meeting other requirements.</w:t>
      </w:r>
    </w:p>
    <w:p w14:paraId="17FDEA4F" w14:textId="77777777"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We have changed our curriculum to reflect changes in the field of history.  Students will now be required to take History 20 and 21 instead of History 1 and 2.  This will help credential students who will now have six units less of course work.   This is a reduction of units for a least a quarter of majors.  Furthermore, many students complete the bachelor’s degree and later enter the credential program and these students will also benefit. The department has proposed curriculum changes that will enable students to take the History 100W course before their senior year thus demonstrating proficiency prior to their last year in the program. </w:t>
      </w:r>
    </w:p>
    <w:p w14:paraId="03129791" w14:textId="77777777" w:rsidR="00536912" w:rsidRPr="002032DC" w:rsidRDefault="00536912" w:rsidP="00536912">
      <w:pPr>
        <w:spacing w:after="0"/>
        <w:rPr>
          <w:rFonts w:ascii="Times New Roman" w:hAnsi="Times New Roman" w:cs="Times New Roman"/>
          <w:sz w:val="24"/>
          <w:szCs w:val="24"/>
        </w:rPr>
      </w:pPr>
    </w:p>
    <w:p w14:paraId="7B4D585C" w14:textId="77777777" w:rsidR="00536912" w:rsidRPr="002032DC" w:rsidRDefault="00536912" w:rsidP="00536912">
      <w:pPr>
        <w:spacing w:after="0"/>
        <w:ind w:firstLine="720"/>
        <w:rPr>
          <w:rFonts w:ascii="Times New Roman" w:hAnsi="Times New Roman" w:cs="Times New Roman"/>
          <w:b/>
          <w:sz w:val="24"/>
          <w:szCs w:val="24"/>
        </w:rPr>
      </w:pPr>
      <w:r w:rsidRPr="002032DC">
        <w:rPr>
          <w:rFonts w:ascii="Times New Roman" w:hAnsi="Times New Roman" w:cs="Times New Roman"/>
          <w:b/>
          <w:sz w:val="24"/>
          <w:szCs w:val="24"/>
        </w:rPr>
        <w:t>Action Plan Items and Steps Taken:</w:t>
      </w:r>
    </w:p>
    <w:p w14:paraId="6143B496" w14:textId="77777777" w:rsidR="00536912" w:rsidRPr="002032DC" w:rsidRDefault="00536912" w:rsidP="00536912">
      <w:pPr>
        <w:spacing w:after="0"/>
        <w:rPr>
          <w:rFonts w:ascii="Times New Roman" w:hAnsi="Times New Roman" w:cs="Times New Roman"/>
          <w:sz w:val="24"/>
          <w:szCs w:val="24"/>
        </w:rPr>
      </w:pPr>
    </w:p>
    <w:p w14:paraId="7D73D64D" w14:textId="77777777" w:rsidR="00536912" w:rsidRPr="002032DC" w:rsidRDefault="00536912" w:rsidP="00536912">
      <w:pPr>
        <w:pStyle w:val="ListParagraph"/>
        <w:numPr>
          <w:ilvl w:val="0"/>
          <w:numId w:val="10"/>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Continue to work on assessment plans and closing the loop in assessment.  Continue to discuss assessment results and make changes as necessary according to assessment results.</w:t>
      </w:r>
    </w:p>
    <w:p w14:paraId="5FF132D2" w14:textId="77777777" w:rsidR="00536912" w:rsidRPr="002032DC" w:rsidRDefault="00536912" w:rsidP="00536912">
      <w:pPr>
        <w:spacing w:after="0"/>
        <w:ind w:left="1080"/>
        <w:rPr>
          <w:rFonts w:ascii="Times New Roman" w:hAnsi="Times New Roman" w:cs="Times New Roman"/>
          <w:b/>
          <w:sz w:val="24"/>
          <w:szCs w:val="24"/>
        </w:rPr>
      </w:pPr>
    </w:p>
    <w:p w14:paraId="43377D07" w14:textId="77777777" w:rsidR="00536912" w:rsidRPr="002032DC" w:rsidRDefault="00536912" w:rsidP="00536912">
      <w:pPr>
        <w:spacing w:after="0"/>
        <w:ind w:left="1080"/>
        <w:rPr>
          <w:rFonts w:ascii="Times New Roman" w:eastAsia="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w:t>
      </w:r>
      <w:r w:rsidRPr="002032DC">
        <w:rPr>
          <w:rFonts w:ascii="Times New Roman" w:eastAsia="Times New Roman" w:hAnsi="Times New Roman" w:cs="Times New Roman"/>
          <w:color w:val="000000"/>
          <w:sz w:val="24"/>
          <w:szCs w:val="24"/>
          <w:shd w:val="clear" w:color="auto" w:fill="FFFFFF"/>
        </w:rPr>
        <w:t>In conjunction with the on-going efforts of the University to improve student success and achieve more consistent assessment to provide data for the upcoming WASC review, the History Department has already taken and will continue to implement specific actions in regard to student assessment. The department has revised its undergraduate and graduate SOAP plans by reducing the number of goals and outcomes and changing our measures to align them more closely with our outcomes. The department has introduced new measures focused on writing assignments to measure G.E. outcomes inste</w:t>
      </w:r>
      <w:r>
        <w:rPr>
          <w:rFonts w:ascii="Times New Roman" w:eastAsia="Times New Roman" w:hAnsi="Times New Roman" w:cs="Times New Roman"/>
          <w:color w:val="000000"/>
          <w:sz w:val="24"/>
          <w:szCs w:val="24"/>
          <w:shd w:val="clear" w:color="auto" w:fill="FFFFFF"/>
        </w:rPr>
        <w:t>ad of relying on a pre and post-</w:t>
      </w:r>
      <w:r w:rsidRPr="002032DC">
        <w:rPr>
          <w:rFonts w:ascii="Times New Roman" w:eastAsia="Times New Roman" w:hAnsi="Times New Roman" w:cs="Times New Roman"/>
          <w:color w:val="000000"/>
          <w:sz w:val="24"/>
          <w:szCs w:val="24"/>
          <w:shd w:val="clear" w:color="auto" w:fill="FFFFFF"/>
        </w:rPr>
        <w:t xml:space="preserve">test. The department has revised its senior survey and created an alumni survey to determine the extent to which graduates are prepared for graduate school and/or the job market. The department has also taken steps to assess students earlier in the program by collecting History 4 assignments and analyzing this data.  Deficiencies. The department is currently considering implementing an e-portfolio requirement that would require students to create a collection of work that would enable us to do more thorough comparisons of student work over time. </w:t>
      </w:r>
    </w:p>
    <w:p w14:paraId="42C44E1C" w14:textId="77777777" w:rsidR="00536912" w:rsidRPr="002032DC" w:rsidRDefault="00536912" w:rsidP="00536912">
      <w:pPr>
        <w:spacing w:after="0"/>
        <w:rPr>
          <w:rFonts w:ascii="Times New Roman" w:hAnsi="Times New Roman" w:cs="Times New Roman"/>
          <w:sz w:val="24"/>
          <w:szCs w:val="24"/>
        </w:rPr>
      </w:pPr>
    </w:p>
    <w:p w14:paraId="7FF55678" w14:textId="77777777" w:rsidR="00536912" w:rsidRPr="002032DC" w:rsidRDefault="00536912" w:rsidP="00536912">
      <w:pPr>
        <w:pStyle w:val="ListParagraph"/>
        <w:numPr>
          <w:ilvl w:val="0"/>
          <w:numId w:val="10"/>
        </w:numPr>
        <w:spacing w:after="0"/>
        <w:ind w:left="720"/>
        <w:rPr>
          <w:rFonts w:ascii="Times New Roman" w:hAnsi="Times New Roman" w:cs="Times New Roman"/>
          <w:b/>
          <w:sz w:val="24"/>
          <w:szCs w:val="24"/>
        </w:rPr>
      </w:pPr>
      <w:r w:rsidRPr="002032DC">
        <w:rPr>
          <w:rFonts w:ascii="Times New Roman" w:hAnsi="Times New Roman" w:cs="Times New Roman"/>
          <w:sz w:val="24"/>
          <w:szCs w:val="24"/>
        </w:rPr>
        <w:t xml:space="preserve">Advising.  Two reviews ago our reviewers noted a great deal of discontinuity in our student advising.  In response the department assigned a single person advising duties and arranged for them to have six units of release time.  As a result of budget cuts, all departments in our college lost their release time for advising.    Although each faculty </w:t>
      </w:r>
      <w:r w:rsidRPr="002032DC">
        <w:rPr>
          <w:rFonts w:ascii="Times New Roman" w:hAnsi="Times New Roman" w:cs="Times New Roman"/>
          <w:sz w:val="24"/>
          <w:szCs w:val="24"/>
        </w:rPr>
        <w:lastRenderedPageBreak/>
        <w:t xml:space="preserve">member remains responsible for specialized advising, content advising and career planning, we would hope to make degree advising much more consistent.  </w:t>
      </w:r>
    </w:p>
    <w:p w14:paraId="020332AF" w14:textId="77777777" w:rsidR="00536912" w:rsidRPr="002032DC" w:rsidRDefault="00536912" w:rsidP="00536912">
      <w:pPr>
        <w:pStyle w:val="ListParagraph"/>
        <w:spacing w:after="0"/>
        <w:rPr>
          <w:rFonts w:ascii="Times New Roman" w:hAnsi="Times New Roman" w:cs="Times New Roman"/>
          <w:b/>
          <w:sz w:val="24"/>
          <w:szCs w:val="24"/>
        </w:rPr>
      </w:pPr>
    </w:p>
    <w:p w14:paraId="4FBC0511"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 xml:space="preserve">Students with unique issues are referred to the Chair of the Department who either assists them or refers them to someone (often in advising services) who can work with them to resolve the issue. During the 2014-2015 academic year, President Castro approved and funded the creation of a centralized advising center for every college that did not already have such a center. COSS has hired two full-time advisors who will be responsible for G.E. and initial major advising which should improve consistency. History faculty will continue to meet with students to advise them on graduate schools, career options, and other specialized opportunities. </w:t>
      </w:r>
    </w:p>
    <w:p w14:paraId="7B1B3E6F" w14:textId="77777777" w:rsidR="00536912" w:rsidRPr="002032DC" w:rsidRDefault="00536912" w:rsidP="00536912">
      <w:pPr>
        <w:pStyle w:val="ListParagraph"/>
        <w:spacing w:after="0"/>
        <w:rPr>
          <w:rFonts w:ascii="Times New Roman" w:hAnsi="Times New Roman" w:cs="Times New Roman"/>
          <w:sz w:val="24"/>
          <w:szCs w:val="24"/>
        </w:rPr>
      </w:pPr>
    </w:p>
    <w:p w14:paraId="5F371053"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 xml:space="preserve">We want to continue to work on the university’s goal of internationalization.  Several of our faculty have already taught abroad but we would like to see many more students taking advantage of opportunities to study abroad.  </w:t>
      </w:r>
    </w:p>
    <w:p w14:paraId="5E7A1E7C" w14:textId="77777777" w:rsidR="00536912" w:rsidRPr="002032DC" w:rsidRDefault="00536912" w:rsidP="00536912">
      <w:pPr>
        <w:pStyle w:val="ListParagraph"/>
        <w:spacing w:after="0"/>
        <w:ind w:left="1080"/>
        <w:rPr>
          <w:rFonts w:ascii="Times New Roman" w:hAnsi="Times New Roman" w:cs="Times New Roman"/>
          <w:b/>
          <w:sz w:val="24"/>
          <w:szCs w:val="24"/>
        </w:rPr>
      </w:pPr>
    </w:p>
    <w:p w14:paraId="0DF06F30" w14:textId="26EF838F" w:rsidR="00536912" w:rsidRPr="002032DC" w:rsidRDefault="00536912" w:rsidP="00536912">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A recent College of Social Sciences initiative that provides some scholarship money for student travel should help with this endeavor.  Dr. </w:t>
      </w:r>
      <w:proofErr w:type="spellStart"/>
      <w:r w:rsidRPr="002032DC">
        <w:rPr>
          <w:rFonts w:ascii="Times New Roman" w:hAnsi="Times New Roman" w:cs="Times New Roman"/>
          <w:sz w:val="24"/>
          <w:szCs w:val="24"/>
        </w:rPr>
        <w:t>DenBeste</w:t>
      </w:r>
      <w:proofErr w:type="spellEnd"/>
      <w:r w:rsidRPr="002032DC">
        <w:rPr>
          <w:rFonts w:ascii="Times New Roman" w:hAnsi="Times New Roman" w:cs="Times New Roman"/>
          <w:sz w:val="24"/>
          <w:szCs w:val="24"/>
        </w:rPr>
        <w:t xml:space="preserve"> took a group of 17 students to Russia in summer 2014.  Dr. Lopez took approximately 18 students to Italy as part of a Study Abroad Program in June of 2015. Dr. Jordine took 18 students, 15 of which were History Majors, to Central Europe as part of a WWII &amp; Holocaust study abroad trip in July 2015. These trips in addition to requiring students to read and write papers on topics in European History also greatly expanded their cultural knowledge and gave our students direct experience in interacting with individuals with different backgrounds and perspectives than their own.  The department also hopes to be able to recruit </w:t>
      </w:r>
      <w:bookmarkStart w:id="0" w:name="_GoBack"/>
      <w:bookmarkEnd w:id="0"/>
      <w:r w:rsidR="0099538D" w:rsidRPr="002032DC">
        <w:rPr>
          <w:rFonts w:ascii="Times New Roman" w:hAnsi="Times New Roman" w:cs="Times New Roman"/>
          <w:sz w:val="24"/>
          <w:szCs w:val="24"/>
        </w:rPr>
        <w:t>additional international</w:t>
      </w:r>
      <w:r w:rsidRPr="002032DC">
        <w:rPr>
          <w:rFonts w:ascii="Times New Roman" w:hAnsi="Times New Roman" w:cs="Times New Roman"/>
          <w:sz w:val="24"/>
          <w:szCs w:val="24"/>
        </w:rPr>
        <w:t xml:space="preserve"> students to our program.  </w:t>
      </w:r>
    </w:p>
    <w:p w14:paraId="5BE64CBE" w14:textId="77777777" w:rsidR="00536912" w:rsidRPr="002032DC" w:rsidRDefault="00536912" w:rsidP="00536912">
      <w:pPr>
        <w:spacing w:after="0"/>
        <w:ind w:left="720"/>
        <w:rPr>
          <w:rFonts w:ascii="Times New Roman" w:hAnsi="Times New Roman" w:cs="Times New Roman"/>
          <w:sz w:val="24"/>
          <w:szCs w:val="24"/>
        </w:rPr>
      </w:pPr>
    </w:p>
    <w:p w14:paraId="2D1AF9BB"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We strongly support undergraduate research opportunities and will continue to encourage our students to apply for university funding for research.  We have also been encouraging students to present at the regional Phi Alpha Theta history conference.  In addition we are exploring ways to begin a History Honors program.   Increasing the numbers of students working on undergraduate research projects remains a long-term goal.</w:t>
      </w:r>
    </w:p>
    <w:p w14:paraId="7EEB3334" w14:textId="77777777" w:rsidR="00536912" w:rsidRPr="002032DC" w:rsidRDefault="00536912" w:rsidP="00536912">
      <w:pPr>
        <w:pStyle w:val="ListParagraph"/>
        <w:spacing w:after="0"/>
        <w:ind w:left="1080"/>
        <w:rPr>
          <w:rFonts w:ascii="Times New Roman" w:hAnsi="Times New Roman" w:cs="Times New Roman"/>
          <w:b/>
          <w:sz w:val="24"/>
          <w:szCs w:val="24"/>
        </w:rPr>
      </w:pPr>
    </w:p>
    <w:p w14:paraId="20183B8B" w14:textId="77777777" w:rsidR="00536912" w:rsidRPr="002032DC" w:rsidRDefault="00536912" w:rsidP="00536912">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Several of our students have worked with faculty mentors to apply for and have received undergraduate research awards from the Dean of Undergraduate Studies. No steps have been taken towards creating a History Honors Program. A College Honors Program has been created but no History students participated in the first cohort.  Two or three will be participating in the second cohort.</w:t>
      </w:r>
    </w:p>
    <w:p w14:paraId="5CB0FB77" w14:textId="77777777" w:rsidR="00536912" w:rsidRPr="002032DC" w:rsidRDefault="00536912" w:rsidP="00536912">
      <w:pPr>
        <w:pStyle w:val="ListParagraph"/>
        <w:spacing w:after="0"/>
        <w:rPr>
          <w:rFonts w:ascii="Times New Roman" w:hAnsi="Times New Roman" w:cs="Times New Roman"/>
          <w:sz w:val="24"/>
          <w:szCs w:val="24"/>
        </w:rPr>
      </w:pPr>
    </w:p>
    <w:p w14:paraId="0CABF85F"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The graduate program generally received excellent reviews at all levels.  We have already improved recruitment and retention.  We have had many students this year and last attend conferences and give research presentations.  We have reviewed and will continue to review our graduate level outcomes.  The most pressing issue related to all of these concerns however, is graduate advisement (as noted by the review committee).  We have always had a graduate advisor.  However, in connection with recent budget cuts the advisor has been reduced from 6WTU release a year to 3WTU.  Keeping a larger graduate program afloat, planning research opportunities for students, keeping students abreast of opportunities in their field and keeping our graduate program current is a big task for one person.  We will continue to seek creative ways to fund an additional 3WTU release for our graduate coordinator.</w:t>
      </w:r>
    </w:p>
    <w:p w14:paraId="3C641CD1" w14:textId="77777777" w:rsidR="00536912" w:rsidRPr="002032DC" w:rsidRDefault="00536912" w:rsidP="00536912">
      <w:pPr>
        <w:spacing w:after="0"/>
        <w:rPr>
          <w:rFonts w:ascii="Times New Roman" w:hAnsi="Times New Roman" w:cs="Times New Roman"/>
          <w:sz w:val="24"/>
          <w:szCs w:val="24"/>
        </w:rPr>
      </w:pPr>
    </w:p>
    <w:p w14:paraId="67B262A1" w14:textId="77777777" w:rsidR="00536912" w:rsidRPr="002032DC" w:rsidRDefault="00536912" w:rsidP="00536912">
      <w:pPr>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Even with an improved budget situation, and the continued growth and success of our graduate program, we have not been able to secure the additional 3 WTUs of release time for the graduate coordinator. The HGSA (History Graduate Student Association) Organization sponsors a symposium every year and again this year there were a diverse array of graduate students, both our own and several from other institutions, presenting. This year, for the first time, we recorded several presentations by our own students and used them to assess the oral communication skills of students in our program.</w:t>
      </w:r>
    </w:p>
    <w:p w14:paraId="417E991F" w14:textId="77777777" w:rsidR="00536912" w:rsidRPr="002032DC" w:rsidRDefault="00536912" w:rsidP="00536912">
      <w:pPr>
        <w:spacing w:after="0"/>
        <w:rPr>
          <w:rFonts w:ascii="Times New Roman" w:hAnsi="Times New Roman" w:cs="Times New Roman"/>
          <w:sz w:val="24"/>
          <w:szCs w:val="24"/>
        </w:rPr>
      </w:pPr>
    </w:p>
    <w:p w14:paraId="30C523E9" w14:textId="4A2CB431" w:rsidR="00536912" w:rsidRPr="002032DC" w:rsidRDefault="00536912" w:rsidP="00536912">
      <w:pPr>
        <w:pStyle w:val="ListParagraph"/>
        <w:numPr>
          <w:ilvl w:val="0"/>
          <w:numId w:val="11"/>
        </w:numPr>
        <w:spacing w:after="0"/>
        <w:rPr>
          <w:rFonts w:ascii="Times New Roman" w:eastAsia="Times New Roman" w:hAnsi="Times New Roman" w:cs="Times New Roman"/>
          <w:color w:val="000000"/>
          <w:sz w:val="24"/>
          <w:szCs w:val="24"/>
          <w:shd w:val="clear" w:color="auto" w:fill="FFFFFF"/>
        </w:rPr>
      </w:pPr>
      <w:r w:rsidRPr="002032DC">
        <w:rPr>
          <w:rFonts w:ascii="Times New Roman" w:hAnsi="Times New Roman" w:cs="Times New Roman"/>
          <w:sz w:val="24"/>
          <w:szCs w:val="24"/>
        </w:rPr>
        <w:t xml:space="preserve">Future Hiring.   We believe that hiring a Public historian would allow us to connect with new programs across campus and with the community in a much stronger way.  </w:t>
      </w:r>
      <w:r w:rsidRPr="002032DC">
        <w:rPr>
          <w:rFonts w:ascii="Times New Roman" w:eastAsia="Times New Roman" w:hAnsi="Times New Roman" w:cs="Times New Roman"/>
          <w:color w:val="000000"/>
          <w:sz w:val="24"/>
          <w:szCs w:val="24"/>
          <w:shd w:val="clear" w:color="auto" w:fill="FFFFFF"/>
        </w:rPr>
        <w:t>A Public Historian would raise the profile of our department and college throughout the Central Valley by engaging with community organizations, libraries, historic sites, and county arc</w:t>
      </w:r>
      <w:r w:rsidR="00525653">
        <w:rPr>
          <w:rFonts w:ascii="Times New Roman" w:eastAsia="Times New Roman" w:hAnsi="Times New Roman" w:cs="Times New Roman"/>
          <w:color w:val="000000"/>
          <w:sz w:val="24"/>
          <w:szCs w:val="24"/>
          <w:shd w:val="clear" w:color="auto" w:fill="FFFFFF"/>
        </w:rPr>
        <w:t>hives.  </w:t>
      </w:r>
    </w:p>
    <w:p w14:paraId="15FF7FD5" w14:textId="77777777" w:rsidR="00536912" w:rsidRPr="002032DC" w:rsidRDefault="00536912" w:rsidP="00536912">
      <w:pPr>
        <w:pStyle w:val="ListParagraph"/>
        <w:spacing w:after="0"/>
        <w:rPr>
          <w:rFonts w:ascii="Times New Roman" w:eastAsia="Times New Roman" w:hAnsi="Times New Roman" w:cs="Times New Roman"/>
          <w:color w:val="000000"/>
          <w:sz w:val="24"/>
          <w:szCs w:val="24"/>
          <w:shd w:val="clear" w:color="auto" w:fill="FFFFFF"/>
        </w:rPr>
      </w:pPr>
    </w:p>
    <w:p w14:paraId="05D7CE39" w14:textId="0B716B12" w:rsidR="00536912" w:rsidRPr="002032DC" w:rsidRDefault="00536912" w:rsidP="00536912">
      <w:pPr>
        <w:pStyle w:val="ListParagraph"/>
        <w:spacing w:after="0"/>
        <w:ind w:left="1080"/>
        <w:rPr>
          <w:rFonts w:ascii="Times New Roman" w:eastAsia="Times New Roman" w:hAnsi="Times New Roman" w:cs="Times New Roman"/>
          <w:color w:val="000000"/>
          <w:sz w:val="24"/>
          <w:szCs w:val="24"/>
          <w:shd w:val="clear" w:color="auto" w:fill="FFFFFF"/>
        </w:rPr>
      </w:pPr>
      <w:r w:rsidRPr="002032DC">
        <w:rPr>
          <w:rFonts w:ascii="Times New Roman" w:eastAsia="Times New Roman" w:hAnsi="Times New Roman" w:cs="Times New Roman"/>
          <w:b/>
          <w:color w:val="000000"/>
          <w:sz w:val="24"/>
          <w:szCs w:val="24"/>
          <w:shd w:val="clear" w:color="auto" w:fill="FFFFFF"/>
        </w:rPr>
        <w:t xml:space="preserve">Progress: </w:t>
      </w:r>
      <w:r w:rsidR="00525653">
        <w:rPr>
          <w:rFonts w:ascii="Times New Roman" w:eastAsia="Times New Roman" w:hAnsi="Times New Roman" w:cs="Times New Roman"/>
          <w:color w:val="000000"/>
          <w:sz w:val="24"/>
          <w:szCs w:val="24"/>
          <w:shd w:val="clear" w:color="auto" w:fill="FFFFFF"/>
        </w:rPr>
        <w:t>The department hired a public historian during the 2012-2016 AY.</w:t>
      </w:r>
      <w:r w:rsidRPr="002032DC">
        <w:rPr>
          <w:rFonts w:ascii="Times New Roman" w:eastAsia="Times New Roman" w:hAnsi="Times New Roman" w:cs="Times New Roman"/>
          <w:color w:val="000000"/>
          <w:sz w:val="24"/>
          <w:szCs w:val="24"/>
          <w:shd w:val="clear" w:color="auto" w:fill="FFFFFF"/>
        </w:rPr>
        <w:t xml:space="preserve">  </w:t>
      </w:r>
    </w:p>
    <w:p w14:paraId="430F0AE4" w14:textId="77777777" w:rsidR="00536912" w:rsidRPr="002032DC" w:rsidRDefault="00536912" w:rsidP="00536912">
      <w:pPr>
        <w:spacing w:after="0"/>
        <w:rPr>
          <w:rFonts w:ascii="Times New Roman" w:eastAsia="Times New Roman" w:hAnsi="Times New Roman" w:cs="Times New Roman"/>
          <w:color w:val="000000"/>
          <w:sz w:val="24"/>
          <w:szCs w:val="24"/>
          <w:shd w:val="clear" w:color="auto" w:fill="FFFFFF"/>
        </w:rPr>
      </w:pPr>
    </w:p>
    <w:p w14:paraId="3321B0C9" w14:textId="77777777" w:rsidR="00536912" w:rsidRPr="002032DC" w:rsidRDefault="00536912" w:rsidP="00536912">
      <w:pPr>
        <w:pStyle w:val="ListParagraph"/>
        <w:numPr>
          <w:ilvl w:val="0"/>
          <w:numId w:val="11"/>
        </w:numPr>
        <w:spacing w:after="0"/>
        <w:rPr>
          <w:rFonts w:ascii="Times New Roman" w:eastAsia="Times New Roman" w:hAnsi="Times New Roman" w:cs="Times New Roman"/>
          <w:sz w:val="24"/>
          <w:szCs w:val="24"/>
        </w:rPr>
      </w:pPr>
      <w:r w:rsidRPr="002032DC">
        <w:rPr>
          <w:rFonts w:ascii="Times New Roman" w:eastAsia="Times New Roman" w:hAnsi="Times New Roman" w:cs="Times New Roman"/>
          <w:color w:val="000000"/>
          <w:sz w:val="24"/>
          <w:szCs w:val="24"/>
          <w:shd w:val="clear" w:color="auto" w:fill="FFFFFF"/>
        </w:rPr>
        <w:t>The Jewish Studies Certificate Program (JSCP) was launched in Spring 2013 under the auspices of the department and is now in its first full academic year.  The JSCP incorporates and encourages interdisciplinary collaboration across campus, in addition to providing opportunities for community-campus interchange, student involvement, and curriculum development.  The department plans to continue to support the evolution of the JSCP.</w:t>
      </w:r>
    </w:p>
    <w:p w14:paraId="2E87CE56" w14:textId="77777777" w:rsidR="00536912" w:rsidRPr="002032DC" w:rsidRDefault="00536912" w:rsidP="00536912">
      <w:pPr>
        <w:pStyle w:val="ListParagraph"/>
        <w:spacing w:after="0"/>
        <w:ind w:left="1080"/>
        <w:rPr>
          <w:rFonts w:ascii="Times New Roman" w:eastAsia="Times New Roman" w:hAnsi="Times New Roman" w:cs="Times New Roman"/>
          <w:color w:val="000000"/>
          <w:sz w:val="24"/>
          <w:szCs w:val="24"/>
          <w:shd w:val="clear" w:color="auto" w:fill="FFFFFF"/>
        </w:rPr>
      </w:pPr>
    </w:p>
    <w:p w14:paraId="40C105DD" w14:textId="25014E6F" w:rsidR="002032DC" w:rsidRPr="00525653" w:rsidRDefault="00536912" w:rsidP="00525653">
      <w:pPr>
        <w:pStyle w:val="ListParagraph"/>
        <w:spacing w:after="0"/>
        <w:ind w:left="1080"/>
        <w:rPr>
          <w:rFonts w:ascii="Times New Roman" w:eastAsia="Times New Roman" w:hAnsi="Times New Roman" w:cs="Times New Roman"/>
          <w:sz w:val="24"/>
          <w:szCs w:val="24"/>
        </w:rPr>
      </w:pPr>
      <w:r w:rsidRPr="002032DC">
        <w:rPr>
          <w:rFonts w:ascii="Times New Roman" w:eastAsia="Times New Roman" w:hAnsi="Times New Roman" w:cs="Times New Roman"/>
          <w:b/>
          <w:color w:val="000000"/>
          <w:sz w:val="24"/>
          <w:szCs w:val="24"/>
          <w:shd w:val="clear" w:color="auto" w:fill="FFFFFF"/>
        </w:rPr>
        <w:t xml:space="preserve">Progress: </w:t>
      </w:r>
      <w:r w:rsidRPr="002032DC">
        <w:rPr>
          <w:rFonts w:ascii="Times New Roman" w:eastAsia="Times New Roman" w:hAnsi="Times New Roman" w:cs="Times New Roman"/>
          <w:color w:val="000000"/>
          <w:sz w:val="24"/>
          <w:szCs w:val="24"/>
          <w:shd w:val="clear" w:color="auto" w:fill="FFFFFF"/>
        </w:rPr>
        <w:t>The Department continue</w:t>
      </w:r>
      <w:r>
        <w:rPr>
          <w:rFonts w:ascii="Times New Roman" w:eastAsia="Times New Roman" w:hAnsi="Times New Roman" w:cs="Times New Roman"/>
          <w:color w:val="000000"/>
          <w:sz w:val="24"/>
          <w:szCs w:val="24"/>
          <w:shd w:val="clear" w:color="auto" w:fill="FFFFFF"/>
        </w:rPr>
        <w:t>s</w:t>
      </w:r>
      <w:r w:rsidRPr="002032DC">
        <w:rPr>
          <w:rFonts w:ascii="Times New Roman" w:eastAsia="Times New Roman" w:hAnsi="Times New Roman" w:cs="Times New Roman"/>
          <w:color w:val="000000"/>
          <w:sz w:val="24"/>
          <w:szCs w:val="24"/>
          <w:shd w:val="clear" w:color="auto" w:fill="FFFFFF"/>
        </w:rPr>
        <w:t xml:space="preserve"> to offer courses that are part of this certificate (History 129T: </w:t>
      </w:r>
      <w:proofErr w:type="spellStart"/>
      <w:r w:rsidRPr="002032DC">
        <w:rPr>
          <w:rFonts w:ascii="Times New Roman" w:eastAsia="Times New Roman" w:hAnsi="Times New Roman" w:cs="Times New Roman"/>
          <w:color w:val="000000"/>
          <w:sz w:val="24"/>
          <w:szCs w:val="24"/>
          <w:shd w:val="clear" w:color="auto" w:fill="FFFFFF"/>
        </w:rPr>
        <w:t>Anti-semitism</w:t>
      </w:r>
      <w:proofErr w:type="spellEnd"/>
      <w:r w:rsidRPr="002032DC">
        <w:rPr>
          <w:rFonts w:ascii="Times New Roman" w:eastAsia="Times New Roman" w:hAnsi="Times New Roman" w:cs="Times New Roman"/>
          <w:color w:val="000000"/>
          <w:sz w:val="24"/>
          <w:szCs w:val="24"/>
          <w:shd w:val="clear" w:color="auto" w:fill="FFFFFF"/>
        </w:rPr>
        <w:t>) and History 140 (The Holo</w:t>
      </w:r>
      <w:r w:rsidR="00525653">
        <w:rPr>
          <w:rFonts w:ascii="Times New Roman" w:eastAsia="Times New Roman" w:hAnsi="Times New Roman" w:cs="Times New Roman"/>
          <w:color w:val="000000"/>
          <w:sz w:val="24"/>
          <w:szCs w:val="24"/>
          <w:shd w:val="clear" w:color="auto" w:fill="FFFFFF"/>
        </w:rPr>
        <w:t>caust) and to support the JSCP.</w:t>
      </w:r>
    </w:p>
    <w:sectPr w:rsidR="002032DC" w:rsidRPr="0052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575C"/>
    <w:multiLevelType w:val="hybridMultilevel"/>
    <w:tmpl w:val="181C45CA"/>
    <w:lvl w:ilvl="0" w:tplc="BF268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3307B"/>
    <w:multiLevelType w:val="hybridMultilevel"/>
    <w:tmpl w:val="118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1794B"/>
    <w:multiLevelType w:val="hybridMultilevel"/>
    <w:tmpl w:val="DF266C22"/>
    <w:lvl w:ilvl="0" w:tplc="925E9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F5889"/>
    <w:multiLevelType w:val="hybridMultilevel"/>
    <w:tmpl w:val="8236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E6DFD"/>
    <w:multiLevelType w:val="hybridMultilevel"/>
    <w:tmpl w:val="0A1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D190B"/>
    <w:multiLevelType w:val="hybridMultilevel"/>
    <w:tmpl w:val="F30A676E"/>
    <w:lvl w:ilvl="0" w:tplc="F6A6F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611D60"/>
    <w:multiLevelType w:val="hybridMultilevel"/>
    <w:tmpl w:val="8176227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87C74A6"/>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83372F"/>
    <w:multiLevelType w:val="hybridMultilevel"/>
    <w:tmpl w:val="B6B4C030"/>
    <w:lvl w:ilvl="0" w:tplc="B972C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3027A0"/>
    <w:multiLevelType w:val="hybridMultilevel"/>
    <w:tmpl w:val="FB12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970F0"/>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6"/>
  </w:num>
  <w:num w:numId="5">
    <w:abstractNumId w:val="8"/>
  </w:num>
  <w:num w:numId="6">
    <w:abstractNumId w:val="4"/>
  </w:num>
  <w:num w:numId="7">
    <w:abstractNumId w:val="3"/>
  </w:num>
  <w:num w:numId="8">
    <w:abstractNumId w:val="0"/>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26"/>
    <w:rsid w:val="000727DE"/>
    <w:rsid w:val="00095011"/>
    <w:rsid w:val="000C0BBE"/>
    <w:rsid w:val="0011074D"/>
    <w:rsid w:val="00124C40"/>
    <w:rsid w:val="00133E24"/>
    <w:rsid w:val="001D466F"/>
    <w:rsid w:val="002032DC"/>
    <w:rsid w:val="00290A63"/>
    <w:rsid w:val="00292B91"/>
    <w:rsid w:val="0029739B"/>
    <w:rsid w:val="002B6A15"/>
    <w:rsid w:val="002F6BEC"/>
    <w:rsid w:val="00302CCE"/>
    <w:rsid w:val="00307E8F"/>
    <w:rsid w:val="0033271C"/>
    <w:rsid w:val="00380897"/>
    <w:rsid w:val="0039150B"/>
    <w:rsid w:val="003E2EF8"/>
    <w:rsid w:val="003E7791"/>
    <w:rsid w:val="004376CA"/>
    <w:rsid w:val="00475BE2"/>
    <w:rsid w:val="0047748F"/>
    <w:rsid w:val="004C4CC4"/>
    <w:rsid w:val="00511670"/>
    <w:rsid w:val="005169DC"/>
    <w:rsid w:val="00521FB8"/>
    <w:rsid w:val="00525653"/>
    <w:rsid w:val="00536912"/>
    <w:rsid w:val="00550E5B"/>
    <w:rsid w:val="00562277"/>
    <w:rsid w:val="00562884"/>
    <w:rsid w:val="00597B26"/>
    <w:rsid w:val="005C6F20"/>
    <w:rsid w:val="005F7452"/>
    <w:rsid w:val="0061504D"/>
    <w:rsid w:val="006B06CC"/>
    <w:rsid w:val="006E405B"/>
    <w:rsid w:val="006F1081"/>
    <w:rsid w:val="006F56C2"/>
    <w:rsid w:val="007017E3"/>
    <w:rsid w:val="00733AB6"/>
    <w:rsid w:val="007A4912"/>
    <w:rsid w:val="007A5BEC"/>
    <w:rsid w:val="007D5BAA"/>
    <w:rsid w:val="00804001"/>
    <w:rsid w:val="0083588E"/>
    <w:rsid w:val="008405C0"/>
    <w:rsid w:val="00857A85"/>
    <w:rsid w:val="00875043"/>
    <w:rsid w:val="0089202E"/>
    <w:rsid w:val="008971CF"/>
    <w:rsid w:val="008C1D3D"/>
    <w:rsid w:val="00907D5E"/>
    <w:rsid w:val="0093652C"/>
    <w:rsid w:val="009667DB"/>
    <w:rsid w:val="009675BD"/>
    <w:rsid w:val="0099538D"/>
    <w:rsid w:val="009E2ED0"/>
    <w:rsid w:val="009E34C8"/>
    <w:rsid w:val="009E40C4"/>
    <w:rsid w:val="009E432B"/>
    <w:rsid w:val="009E7A7B"/>
    <w:rsid w:val="00A22C2F"/>
    <w:rsid w:val="00A26A90"/>
    <w:rsid w:val="00A302C4"/>
    <w:rsid w:val="00A33410"/>
    <w:rsid w:val="00A47CF0"/>
    <w:rsid w:val="00A51BFE"/>
    <w:rsid w:val="00A657D0"/>
    <w:rsid w:val="00AA4059"/>
    <w:rsid w:val="00AB68FD"/>
    <w:rsid w:val="00AC41A5"/>
    <w:rsid w:val="00B130FC"/>
    <w:rsid w:val="00B31E51"/>
    <w:rsid w:val="00B372C4"/>
    <w:rsid w:val="00B40B98"/>
    <w:rsid w:val="00B86153"/>
    <w:rsid w:val="00BB460F"/>
    <w:rsid w:val="00BB48E5"/>
    <w:rsid w:val="00BF49EF"/>
    <w:rsid w:val="00BF6BDF"/>
    <w:rsid w:val="00C137D9"/>
    <w:rsid w:val="00C2268D"/>
    <w:rsid w:val="00C472AA"/>
    <w:rsid w:val="00C62BF7"/>
    <w:rsid w:val="00C82307"/>
    <w:rsid w:val="00CD5200"/>
    <w:rsid w:val="00CF6BF5"/>
    <w:rsid w:val="00D0186C"/>
    <w:rsid w:val="00D2364B"/>
    <w:rsid w:val="00D26888"/>
    <w:rsid w:val="00D36E56"/>
    <w:rsid w:val="00D3740E"/>
    <w:rsid w:val="00D7148B"/>
    <w:rsid w:val="00D9556D"/>
    <w:rsid w:val="00DA19F1"/>
    <w:rsid w:val="00DA30E7"/>
    <w:rsid w:val="00DA6B03"/>
    <w:rsid w:val="00DE3104"/>
    <w:rsid w:val="00DF10A1"/>
    <w:rsid w:val="00DF6C75"/>
    <w:rsid w:val="00E64519"/>
    <w:rsid w:val="00E8353B"/>
    <w:rsid w:val="00E85D6C"/>
    <w:rsid w:val="00EC3EE3"/>
    <w:rsid w:val="00EC4E56"/>
    <w:rsid w:val="00ED04B4"/>
    <w:rsid w:val="00F04F1A"/>
    <w:rsid w:val="00F84B4C"/>
    <w:rsid w:val="00F9607C"/>
    <w:rsid w:val="00FD531A"/>
    <w:rsid w:val="00FD7EF2"/>
    <w:rsid w:val="00FE7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B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26"/>
    <w:pPr>
      <w:ind w:left="720"/>
      <w:contextualSpacing/>
    </w:pPr>
  </w:style>
  <w:style w:type="paragraph" w:styleId="BalloonText">
    <w:name w:val="Balloon Text"/>
    <w:basedOn w:val="Normal"/>
    <w:link w:val="BalloonTextChar"/>
    <w:uiPriority w:val="99"/>
    <w:semiHidden/>
    <w:unhideWhenUsed/>
    <w:rsid w:val="00E6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19"/>
    <w:rPr>
      <w:rFonts w:ascii="Tahoma" w:hAnsi="Tahoma" w:cs="Tahoma"/>
      <w:sz w:val="16"/>
      <w:szCs w:val="16"/>
    </w:rPr>
  </w:style>
  <w:style w:type="table" w:styleId="TableGrid">
    <w:name w:val="Table Grid"/>
    <w:basedOn w:val="TableNormal"/>
    <w:uiPriority w:val="59"/>
    <w:rsid w:val="00F84B4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F6C75"/>
    <w:pPr>
      <w:ind w:left="720"/>
      <w:contextualSpacing/>
    </w:pPr>
    <w:rPr>
      <w:rFonts w:ascii="Calibri" w:eastAsia="Calibri" w:hAnsi="Calibri" w:cs="Times New Roman"/>
    </w:rPr>
  </w:style>
  <w:style w:type="character" w:customStyle="1" w:styleId="tx">
    <w:name w:val="tx"/>
    <w:basedOn w:val="DefaultParagraphFont"/>
    <w:rsid w:val="00475BE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26"/>
    <w:pPr>
      <w:ind w:left="720"/>
      <w:contextualSpacing/>
    </w:pPr>
  </w:style>
  <w:style w:type="paragraph" w:styleId="BalloonText">
    <w:name w:val="Balloon Text"/>
    <w:basedOn w:val="Normal"/>
    <w:link w:val="BalloonTextChar"/>
    <w:uiPriority w:val="99"/>
    <w:semiHidden/>
    <w:unhideWhenUsed/>
    <w:rsid w:val="00E6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19"/>
    <w:rPr>
      <w:rFonts w:ascii="Tahoma" w:hAnsi="Tahoma" w:cs="Tahoma"/>
      <w:sz w:val="16"/>
      <w:szCs w:val="16"/>
    </w:rPr>
  </w:style>
  <w:style w:type="table" w:styleId="TableGrid">
    <w:name w:val="Table Grid"/>
    <w:basedOn w:val="TableNormal"/>
    <w:uiPriority w:val="59"/>
    <w:rsid w:val="00F84B4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F6C75"/>
    <w:pPr>
      <w:ind w:left="720"/>
      <w:contextualSpacing/>
    </w:pPr>
    <w:rPr>
      <w:rFonts w:ascii="Calibri" w:eastAsia="Calibri" w:hAnsi="Calibri" w:cs="Times New Roman"/>
    </w:rPr>
  </w:style>
  <w:style w:type="character" w:customStyle="1" w:styleId="tx">
    <w:name w:val="tx"/>
    <w:basedOn w:val="DefaultParagraphFont"/>
    <w:rsid w:val="0047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01BFE-BCAE-6C4E-8736-4D6E1EF15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1988</Words>
  <Characters>11334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Technology Services</cp:lastModifiedBy>
  <cp:revision>3</cp:revision>
  <cp:lastPrinted>2015-08-25T17:31:00Z</cp:lastPrinted>
  <dcterms:created xsi:type="dcterms:W3CDTF">2016-08-27T21:13:00Z</dcterms:created>
  <dcterms:modified xsi:type="dcterms:W3CDTF">2016-09-02T22:08:00Z</dcterms:modified>
</cp:coreProperties>
</file>