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C0" w:rsidRDefault="00A763C0">
      <w:pPr>
        <w:pStyle w:val="Title"/>
      </w:pPr>
      <w:bookmarkStart w:id="0" w:name="_GoBack"/>
      <w:bookmarkEnd w:id="0"/>
      <w:r>
        <w:t>POLICY ON TERMINAL DEGREES</w:t>
      </w:r>
    </w:p>
    <w:p w:rsidR="00A763C0" w:rsidRDefault="00A763C0">
      <w:pPr>
        <w:jc w:val="both"/>
        <w:rPr>
          <w:rFonts w:ascii="Arial" w:hAnsi="Arial"/>
          <w:sz w:val="20"/>
        </w:rPr>
      </w:pPr>
    </w:p>
    <w:p w:rsidR="00A763C0" w:rsidRDefault="00A763C0">
      <w:pPr>
        <w:ind w:left="72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Possession of an earned doctorate or other recognized terminal degree in an area appropriate to the individual’s teaching / service area</w:t>
      </w:r>
      <w:r w:rsidR="002A021A">
        <w:rPr>
          <w:rStyle w:val="FootnoteReference"/>
          <w:rFonts w:ascii="Arial" w:hAnsi="Arial"/>
          <w:sz w:val="20"/>
        </w:rPr>
        <w:footnoteReference w:id="1"/>
      </w:r>
      <w:r>
        <w:rPr>
          <w:rFonts w:ascii="Arial" w:hAnsi="Arial"/>
          <w:sz w:val="20"/>
        </w:rPr>
        <w:t xml:space="preserve"> is required for appointment to a tenure track or tenured faculty position. </w:t>
      </w:r>
    </w:p>
    <w:p w:rsidR="00A763C0" w:rsidRDefault="00A763C0">
      <w:pPr>
        <w:ind w:left="720" w:hanging="720"/>
        <w:jc w:val="both"/>
        <w:rPr>
          <w:rFonts w:ascii="Arial" w:hAnsi="Arial"/>
          <w:sz w:val="20"/>
        </w:rPr>
      </w:pPr>
    </w:p>
    <w:p w:rsidR="00A763C0" w:rsidRDefault="00A763C0">
      <w:pPr>
        <w:ind w:left="72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</w:r>
      <w:r w:rsidRPr="00A763C0">
        <w:rPr>
          <w:rFonts w:ascii="Arial" w:hAnsi="Arial"/>
          <w:color w:val="FF0000"/>
          <w:sz w:val="20"/>
        </w:rPr>
        <w:t>Rare</w:t>
      </w:r>
      <w:r>
        <w:rPr>
          <w:rFonts w:ascii="Arial" w:hAnsi="Arial"/>
          <w:sz w:val="20"/>
        </w:rPr>
        <w:t xml:space="preserve"> exceptions to the requirements of the earned doctorate or other recognized terminal degree may be made by the Provost and Vice President for Academic Affairs, but only upon </w:t>
      </w:r>
      <w:r w:rsidRPr="00A763C0">
        <w:rPr>
          <w:rFonts w:ascii="Arial" w:hAnsi="Arial"/>
          <w:color w:val="FF0000"/>
          <w:sz w:val="20"/>
        </w:rPr>
        <w:t>request</w:t>
      </w:r>
      <w:r>
        <w:rPr>
          <w:rFonts w:ascii="Arial" w:hAnsi="Arial"/>
          <w:sz w:val="20"/>
        </w:rPr>
        <w:t xml:space="preserve"> </w:t>
      </w:r>
      <w:r w:rsidRPr="00A763C0">
        <w:rPr>
          <w:rFonts w:ascii="Arial" w:hAnsi="Arial"/>
          <w:strike/>
          <w:sz w:val="20"/>
        </w:rPr>
        <w:t>approval</w:t>
      </w:r>
      <w:r>
        <w:rPr>
          <w:rFonts w:ascii="Arial" w:hAnsi="Arial"/>
          <w:sz w:val="20"/>
        </w:rPr>
        <w:t xml:space="preserve"> of the department and college/school or service area.  One or more of the following circumstances may justify approval of an exception to the requirement of the doctorate.</w:t>
      </w:r>
    </w:p>
    <w:p w:rsidR="00A763C0" w:rsidRDefault="00A763C0">
      <w:pPr>
        <w:ind w:left="720" w:hanging="720"/>
        <w:jc w:val="both"/>
        <w:rPr>
          <w:rFonts w:ascii="Arial" w:hAnsi="Arial"/>
          <w:sz w:val="20"/>
        </w:rPr>
      </w:pPr>
    </w:p>
    <w:p w:rsidR="00A763C0" w:rsidRDefault="00A763C0">
      <w:pPr>
        <w:pStyle w:val="BodyText2"/>
      </w:pPr>
      <w:r>
        <w:t>(a)</w:t>
      </w:r>
      <w:r>
        <w:tab/>
      </w:r>
      <w:r w:rsidRPr="003F14B7">
        <w:rPr>
          <w:strike/>
        </w:rPr>
        <w:t>The</w:t>
      </w:r>
      <w:r>
        <w:t xml:space="preserve"> </w:t>
      </w:r>
      <w:r w:rsidR="003F14B7" w:rsidRPr="003F14B7">
        <w:rPr>
          <w:color w:val="FF0000"/>
        </w:rPr>
        <w:t>A candidate</w:t>
      </w:r>
      <w:r w:rsidR="003F14B7">
        <w:t xml:space="preserve"> </w:t>
      </w:r>
      <w:r w:rsidRPr="003F14B7">
        <w:rPr>
          <w:strike/>
        </w:rPr>
        <w:t>faculty member</w:t>
      </w:r>
      <w:r>
        <w:t xml:space="preserve"> possesses, at the time of appointment, the highest </w:t>
      </w:r>
      <w:r w:rsidRPr="00A763C0">
        <w:rPr>
          <w:color w:val="FF0000"/>
        </w:rPr>
        <w:t>(i.e., “terminal”)</w:t>
      </w:r>
      <w:r>
        <w:t xml:space="preserve"> degree appropriate to the teaching / service area</w:t>
      </w:r>
      <w:r w:rsidR="00F42C1C">
        <w:t>,</w:t>
      </w:r>
      <w:r>
        <w:t xml:space="preserve"> </w:t>
      </w:r>
      <w:r w:rsidRPr="00A763C0">
        <w:rPr>
          <w:color w:val="FF0000"/>
        </w:rPr>
        <w:t>and the field or discipline represented by the vacant position.</w:t>
      </w:r>
    </w:p>
    <w:p w:rsidR="00A763C0" w:rsidRDefault="00A763C0">
      <w:pPr>
        <w:pStyle w:val="BodyText"/>
        <w:ind w:left="1440" w:hanging="720"/>
      </w:pPr>
      <w:r>
        <w:t>(b)</w:t>
      </w:r>
      <w:r>
        <w:tab/>
      </w:r>
      <w:r w:rsidRPr="003F14B7">
        <w:rPr>
          <w:strike/>
        </w:rPr>
        <w:t>The</w:t>
      </w:r>
      <w:r>
        <w:t xml:space="preserve"> </w:t>
      </w:r>
      <w:r w:rsidR="003F14B7" w:rsidRPr="003F14B7">
        <w:rPr>
          <w:color w:val="FF0000"/>
        </w:rPr>
        <w:t xml:space="preserve">A candidate </w:t>
      </w:r>
      <w:r w:rsidRPr="003F14B7">
        <w:rPr>
          <w:strike/>
        </w:rPr>
        <w:t>faculty member</w:t>
      </w:r>
      <w:r>
        <w:t xml:space="preserve"> has demonstrated, in well-documented form, </w:t>
      </w:r>
      <w:r w:rsidRPr="00A763C0">
        <w:rPr>
          <w:color w:val="FF0000"/>
        </w:rPr>
        <w:t xml:space="preserve">significant </w:t>
      </w:r>
      <w:r>
        <w:t xml:space="preserve">preparation and attainment </w:t>
      </w:r>
      <w:r w:rsidRPr="00A763C0">
        <w:rPr>
          <w:color w:val="FF0000"/>
        </w:rPr>
        <w:t>equivalent to, or surpassing, the educational attainment represented by the terminal degree.</w:t>
      </w:r>
      <w:r>
        <w:t xml:space="preserve"> </w:t>
      </w:r>
      <w:proofErr w:type="gramStart"/>
      <w:r w:rsidRPr="00A763C0">
        <w:rPr>
          <w:strike/>
        </w:rPr>
        <w:t>appropriate</w:t>
      </w:r>
      <w:proofErr w:type="gramEnd"/>
      <w:r w:rsidRPr="00A763C0">
        <w:rPr>
          <w:strike/>
        </w:rPr>
        <w:t xml:space="preserve"> to the teaching / service area</w:t>
      </w:r>
      <w:r>
        <w:t xml:space="preserve">. The preparation and attainment should be clearly as rigorous and as valuable in the actual </w:t>
      </w:r>
      <w:r w:rsidRPr="00F42C1C">
        <w:rPr>
          <w:color w:val="FF0000"/>
        </w:rPr>
        <w:t>performance of the position’s duties and responsibilities as the appropriate terminal degree.</w:t>
      </w:r>
      <w:r>
        <w:t xml:space="preserve"> </w:t>
      </w:r>
      <w:proofErr w:type="gramStart"/>
      <w:r w:rsidRPr="00A763C0">
        <w:rPr>
          <w:strike/>
        </w:rPr>
        <w:t>or</w:t>
      </w:r>
      <w:proofErr w:type="gramEnd"/>
      <w:r w:rsidRPr="00A763C0">
        <w:rPr>
          <w:strike/>
        </w:rPr>
        <w:t xml:space="preserve"> potential appointment as the highest degree appropriate to the teaching / service area.</w:t>
      </w:r>
    </w:p>
    <w:p w:rsidR="00A763C0" w:rsidRDefault="00A763C0">
      <w:pPr>
        <w:ind w:left="144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(c)</w:t>
      </w:r>
      <w:r>
        <w:rPr>
          <w:rFonts w:ascii="Arial" w:hAnsi="Arial"/>
          <w:sz w:val="20"/>
        </w:rPr>
        <w:tab/>
      </w:r>
      <w:r w:rsidRPr="00F42C1C">
        <w:rPr>
          <w:rFonts w:ascii="Arial" w:hAnsi="Arial"/>
          <w:strike/>
          <w:sz w:val="20"/>
        </w:rPr>
        <w:t>The</w:t>
      </w:r>
      <w:r>
        <w:rPr>
          <w:rFonts w:ascii="Arial" w:hAnsi="Arial"/>
          <w:sz w:val="20"/>
        </w:rPr>
        <w:t xml:space="preserve"> </w:t>
      </w:r>
      <w:r w:rsidR="00F42C1C" w:rsidRPr="00F42C1C">
        <w:rPr>
          <w:rFonts w:ascii="Arial" w:hAnsi="Arial"/>
          <w:color w:val="FF0000"/>
          <w:sz w:val="20"/>
        </w:rPr>
        <w:t>A</w:t>
      </w:r>
      <w:r w:rsidR="00F42C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faculty member has demonstrated exceptional preparation to offer instruction in a teaching area although the faculty member may possess </w:t>
      </w:r>
      <w:proofErr w:type="gramStart"/>
      <w:r w:rsidRPr="00A763C0">
        <w:rPr>
          <w:rFonts w:ascii="Arial" w:hAnsi="Arial"/>
          <w:color w:val="FF0000"/>
          <w:sz w:val="20"/>
        </w:rPr>
        <w:t>a</w:t>
      </w:r>
      <w:r>
        <w:rPr>
          <w:rFonts w:ascii="Arial" w:hAnsi="Arial"/>
          <w:sz w:val="20"/>
        </w:rPr>
        <w:t xml:space="preserve"> </w:t>
      </w:r>
      <w:r w:rsidRPr="00A763C0">
        <w:rPr>
          <w:rFonts w:ascii="Arial" w:hAnsi="Arial"/>
          <w:strike/>
          <w:sz w:val="20"/>
        </w:rPr>
        <w:t>the</w:t>
      </w:r>
      <w:proofErr w:type="gramEnd"/>
      <w:r w:rsidRPr="00A763C0">
        <w:rPr>
          <w:rFonts w:ascii="Arial" w:hAnsi="Arial"/>
          <w:strike/>
          <w:sz w:val="20"/>
        </w:rPr>
        <w:t xml:space="preserve"> </w:t>
      </w:r>
      <w:r>
        <w:rPr>
          <w:rFonts w:ascii="Arial" w:hAnsi="Arial"/>
          <w:sz w:val="20"/>
        </w:rPr>
        <w:t>doctorate in another area.  A member of the faculty tenured in one teaching area in which an appropriate doctorate has been earned, who may be changing to a second teaching area, should be expected to meet current continuing preparation standards applied to a tenured faculty member in this second teaching area.</w:t>
      </w:r>
    </w:p>
    <w:p w:rsidR="00A763C0" w:rsidRDefault="00A763C0">
      <w:pPr>
        <w:jc w:val="both"/>
        <w:rPr>
          <w:rFonts w:ascii="Arial" w:hAnsi="Arial"/>
          <w:sz w:val="20"/>
        </w:rPr>
      </w:pPr>
    </w:p>
    <w:p w:rsidR="00A763C0" w:rsidRDefault="00A763C0">
      <w:pPr>
        <w:ind w:left="72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 xml:space="preserve">Terminal degree requirements for appointment to a tenure track position shall be clearly stated in any vacancy announcement.  </w:t>
      </w:r>
      <w:r w:rsidRPr="00A763C0">
        <w:rPr>
          <w:rFonts w:ascii="Arial" w:hAnsi="Arial"/>
          <w:color w:val="FF0000"/>
          <w:sz w:val="20"/>
        </w:rPr>
        <w:t>Particular attention should be paid in those disciplines where more than one kind of terminal degree may be accepted and/or recognized.  The vacancy announcement must also clearly state what degree, if any, may be considered an acceptable equivalent.</w:t>
      </w:r>
      <w:r>
        <w:rPr>
          <w:rFonts w:ascii="Arial" w:hAnsi="Arial"/>
          <w:sz w:val="20"/>
        </w:rPr>
        <w:t xml:space="preserve">    </w:t>
      </w:r>
    </w:p>
    <w:p w:rsidR="00A763C0" w:rsidRDefault="00A763C0">
      <w:pPr>
        <w:ind w:left="720" w:hanging="720"/>
        <w:jc w:val="both"/>
        <w:rPr>
          <w:rFonts w:ascii="Arial" w:hAnsi="Arial"/>
          <w:sz w:val="20"/>
        </w:rPr>
      </w:pPr>
    </w:p>
    <w:p w:rsidR="00A763C0" w:rsidRDefault="00A763C0">
      <w:pPr>
        <w:ind w:left="72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 xml:space="preserve">In exceptional circumstances, and with prior approval from the Provost, individuals who are nearing the completion of the doctorate (ABD) may be appointed to a </w:t>
      </w:r>
      <w:r w:rsidRPr="00F42C1C">
        <w:rPr>
          <w:rFonts w:ascii="Arial" w:hAnsi="Arial"/>
          <w:color w:val="FF0000"/>
          <w:sz w:val="20"/>
        </w:rPr>
        <w:t xml:space="preserve">probationary appointment for an initial period of one year.  Completion of the doctorate during that year will be stipulated (in the appointment letter) as a condition for </w:t>
      </w:r>
      <w:r w:rsidR="002A021A" w:rsidRPr="00F42C1C">
        <w:rPr>
          <w:rFonts w:ascii="Arial" w:hAnsi="Arial"/>
          <w:color w:val="FF0000"/>
          <w:sz w:val="20"/>
        </w:rPr>
        <w:t>subsequent retention in the probationary position.</w:t>
      </w:r>
      <w:r w:rsidR="002A021A" w:rsidRPr="00F42C1C">
        <w:rPr>
          <w:rStyle w:val="FootnoteReference"/>
          <w:rFonts w:ascii="Arial" w:hAnsi="Arial"/>
          <w:color w:val="FF0000"/>
          <w:sz w:val="20"/>
        </w:rPr>
        <w:footnoteReference w:id="2"/>
      </w:r>
      <w:r w:rsidRPr="00F42C1C">
        <w:rPr>
          <w:rFonts w:ascii="Arial" w:hAnsi="Arial"/>
          <w:color w:val="FF0000"/>
          <w:sz w:val="20"/>
        </w:rPr>
        <w:t xml:space="preserve">  </w:t>
      </w:r>
      <w:proofErr w:type="gramStart"/>
      <w:r w:rsidRPr="00A763C0">
        <w:rPr>
          <w:rFonts w:ascii="Arial" w:hAnsi="Arial"/>
          <w:strike/>
          <w:sz w:val="20"/>
        </w:rPr>
        <w:t>lecturer</w:t>
      </w:r>
      <w:proofErr w:type="gramEnd"/>
      <w:r w:rsidRPr="00A763C0">
        <w:rPr>
          <w:rFonts w:ascii="Arial" w:hAnsi="Arial"/>
          <w:strike/>
          <w:sz w:val="20"/>
        </w:rPr>
        <w:t xml:space="preserve"> position with the possibility of conversion to a tenure track position without an additional search.  The offer of employment shall provide for the time period in which the doctorate must be completed for the conversion to tenure track.</w:t>
      </w:r>
    </w:p>
    <w:p w:rsidR="00A763C0" w:rsidRDefault="00A763C0">
      <w:pPr>
        <w:ind w:left="720" w:hanging="720"/>
        <w:jc w:val="both"/>
        <w:rPr>
          <w:rFonts w:ascii="Arial" w:hAnsi="Arial"/>
          <w:sz w:val="20"/>
        </w:rPr>
      </w:pPr>
    </w:p>
    <w:p w:rsidR="00A763C0" w:rsidRDefault="00A763C0">
      <w:pPr>
        <w:ind w:left="72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</w:t>
      </w:r>
      <w:r>
        <w:rPr>
          <w:rFonts w:ascii="Arial" w:hAnsi="Arial"/>
          <w:sz w:val="20"/>
        </w:rPr>
        <w:tab/>
        <w:t>At least once a year, the Provost and Vice President for Academic Affairs or designee shall discuss with the Personnel Committee of the Academic Senate the actions taken under this policy.</w:t>
      </w:r>
    </w:p>
    <w:p w:rsidR="00A763C0" w:rsidRDefault="00A763C0">
      <w:pPr>
        <w:jc w:val="both"/>
        <w:rPr>
          <w:rFonts w:ascii="Arial" w:hAnsi="Arial"/>
          <w:sz w:val="20"/>
        </w:rPr>
      </w:pPr>
    </w:p>
    <w:p w:rsidR="00A763C0" w:rsidRDefault="00A763C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</w:t>
      </w:r>
    </w:p>
    <w:p w:rsidR="00A763C0" w:rsidRDefault="00A763C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Approved by President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May 1977</w:t>
      </w:r>
    </w:p>
    <w:p w:rsidR="00A763C0" w:rsidRDefault="00A763C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Amended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November 1999</w:t>
      </w:r>
    </w:p>
    <w:p w:rsidR="00F42C1C" w:rsidRPr="00F42C1C" w:rsidRDefault="00F42C1C">
      <w:pPr>
        <w:jc w:val="both"/>
        <w:rPr>
          <w:rFonts w:ascii="Arial" w:hAnsi="Arial"/>
          <w:color w:val="FF0000"/>
          <w:sz w:val="20"/>
        </w:rPr>
      </w:pPr>
      <w:r w:rsidRPr="00F42C1C">
        <w:rPr>
          <w:rFonts w:ascii="Arial" w:hAnsi="Arial"/>
          <w:color w:val="FF0000"/>
          <w:sz w:val="20"/>
        </w:rPr>
        <w:t>Latest Revisions</w:t>
      </w:r>
      <w:r w:rsidRPr="00F42C1C">
        <w:rPr>
          <w:rFonts w:ascii="Arial" w:hAnsi="Arial"/>
          <w:color w:val="FF0000"/>
          <w:sz w:val="20"/>
        </w:rPr>
        <w:tab/>
      </w:r>
      <w:r w:rsidRPr="00F42C1C">
        <w:rPr>
          <w:rFonts w:ascii="Arial" w:hAnsi="Arial"/>
          <w:color w:val="FF0000"/>
          <w:sz w:val="20"/>
        </w:rPr>
        <w:tab/>
        <w:t>February 22, 2012</w:t>
      </w:r>
    </w:p>
    <w:sectPr w:rsidR="00F42C1C" w:rsidRPr="00F42C1C" w:rsidSect="00C73066">
      <w:headerReference w:type="first" r:id="rId6"/>
      <w:footerReference w:type="firs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BA" w:rsidRDefault="005D4DBA">
      <w:r>
        <w:separator/>
      </w:r>
    </w:p>
  </w:endnote>
  <w:endnote w:type="continuationSeparator" w:id="0">
    <w:p w:rsidR="005D4DBA" w:rsidRDefault="005D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1C" w:rsidRDefault="00F42C1C">
    <w:pPr>
      <w:pStyle w:val="Footer"/>
      <w:jc w:val="center"/>
      <w:rPr>
        <w:rStyle w:val="PageNumber"/>
        <w:rFonts w:ascii="Helvetica" w:hAnsi="Helvetica"/>
      </w:rPr>
    </w:pPr>
    <w:r>
      <w:rPr>
        <w:rFonts w:ascii="Helvetica" w:hAnsi="Helvetica"/>
      </w:rPr>
      <w:t>304-</w:t>
    </w:r>
    <w:r w:rsidR="00B437AA">
      <w:rPr>
        <w:rStyle w:val="PageNumber"/>
        <w:rFonts w:ascii="Helvetica" w:hAnsi="Helvetica"/>
      </w:rPr>
      <w:fldChar w:fldCharType="begin"/>
    </w:r>
    <w:r>
      <w:rPr>
        <w:rStyle w:val="PageNumber"/>
        <w:rFonts w:ascii="Helvetica" w:hAnsi="Helvetica"/>
      </w:rPr>
      <w:instrText xml:space="preserve"> PAGE </w:instrText>
    </w:r>
    <w:r w:rsidR="00B437AA">
      <w:rPr>
        <w:rStyle w:val="PageNumber"/>
        <w:rFonts w:ascii="Helvetica" w:hAnsi="Helvetica"/>
      </w:rPr>
      <w:fldChar w:fldCharType="separate"/>
    </w:r>
    <w:r w:rsidR="00CD3D31">
      <w:rPr>
        <w:rStyle w:val="PageNumber"/>
        <w:rFonts w:ascii="Helvetica" w:hAnsi="Helvetica"/>
        <w:noProof/>
      </w:rPr>
      <w:t>1</w:t>
    </w:r>
    <w:r w:rsidR="00B437AA">
      <w:rPr>
        <w:rStyle w:val="PageNumber"/>
        <w:rFonts w:ascii="Helvetica" w:hAnsi="Helvetica"/>
      </w:rPr>
      <w:fldChar w:fldCharType="end"/>
    </w:r>
  </w:p>
  <w:p w:rsidR="00F42C1C" w:rsidRDefault="00F42C1C">
    <w:pPr>
      <w:pStyle w:val="Footer"/>
      <w:jc w:val="center"/>
      <w:rPr>
        <w:rFonts w:ascii="Helvetica" w:hAnsi="Helvetica"/>
      </w:rPr>
    </w:pPr>
    <w:r>
      <w:rPr>
        <w:rStyle w:val="PageNumber"/>
        <w:rFonts w:ascii="Helvetica" w:hAnsi="Helvetica"/>
      </w:rPr>
      <w:t>(February 22, 2012)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BA" w:rsidRDefault="005D4DBA">
      <w:r>
        <w:separator/>
      </w:r>
    </w:p>
  </w:footnote>
  <w:footnote w:type="continuationSeparator" w:id="0">
    <w:p w:rsidR="005D4DBA" w:rsidRDefault="005D4DBA">
      <w:r>
        <w:continuationSeparator/>
      </w:r>
    </w:p>
  </w:footnote>
  <w:footnote w:id="1">
    <w:p w:rsidR="00F42C1C" w:rsidRPr="00F42C1C" w:rsidRDefault="00F42C1C">
      <w:pPr>
        <w:pStyle w:val="FootnoteText"/>
        <w:rPr>
          <w:rFonts w:ascii="Arial" w:hAnsi="Arial"/>
          <w:sz w:val="16"/>
          <w:szCs w:val="16"/>
        </w:rPr>
      </w:pPr>
      <w:r w:rsidRPr="00F42C1C">
        <w:rPr>
          <w:rStyle w:val="FootnoteReference"/>
          <w:rFonts w:ascii="Arial" w:hAnsi="Arial"/>
          <w:sz w:val="16"/>
          <w:szCs w:val="16"/>
        </w:rPr>
        <w:footnoteRef/>
      </w:r>
      <w:r w:rsidRPr="00F42C1C">
        <w:rPr>
          <w:rFonts w:ascii="Arial" w:hAnsi="Arial"/>
          <w:sz w:val="16"/>
          <w:szCs w:val="16"/>
        </w:rPr>
        <w:t xml:space="preserve"> “Service area” refers to the Library and Student Affairs areas only.</w:t>
      </w:r>
    </w:p>
  </w:footnote>
  <w:footnote w:id="2">
    <w:p w:rsidR="00F42C1C" w:rsidRPr="00F42C1C" w:rsidRDefault="00F42C1C">
      <w:pPr>
        <w:pStyle w:val="FootnoteText"/>
        <w:rPr>
          <w:rFonts w:ascii="Arial" w:hAnsi="Arial"/>
          <w:color w:val="FF0000"/>
          <w:sz w:val="16"/>
          <w:szCs w:val="16"/>
        </w:rPr>
      </w:pPr>
      <w:r w:rsidRPr="00F42C1C">
        <w:rPr>
          <w:rStyle w:val="FootnoteReference"/>
          <w:rFonts w:ascii="Arial" w:hAnsi="Arial"/>
          <w:color w:val="FF0000"/>
          <w:sz w:val="16"/>
          <w:szCs w:val="16"/>
        </w:rPr>
        <w:footnoteRef/>
      </w:r>
      <w:r w:rsidRPr="00F42C1C">
        <w:rPr>
          <w:rFonts w:ascii="Arial" w:hAnsi="Arial"/>
          <w:color w:val="FF0000"/>
          <w:sz w:val="16"/>
          <w:szCs w:val="16"/>
        </w:rPr>
        <w:t xml:space="preserve"> Refer to APM 301 for a complete set of instructions regarding ABD recruitments and appointments.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1C" w:rsidRDefault="00F42C1C">
    <w:pPr>
      <w:pStyle w:val="Header"/>
      <w:jc w:val="right"/>
      <w:rPr>
        <w:rFonts w:ascii="Helvetica" w:hAnsi="Helvetica"/>
      </w:rPr>
    </w:pPr>
    <w:r>
      <w:rPr>
        <w:rFonts w:ascii="Helvetica" w:hAnsi="Helvetica"/>
      </w:rPr>
      <w:t>304</w:t>
    </w:r>
  </w:p>
  <w:p w:rsidR="00F42C1C" w:rsidRDefault="00F42C1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763C0"/>
    <w:rsid w:val="002A021A"/>
    <w:rsid w:val="003F14B7"/>
    <w:rsid w:val="004B4978"/>
    <w:rsid w:val="00592965"/>
    <w:rsid w:val="005D4DBA"/>
    <w:rsid w:val="005F141A"/>
    <w:rsid w:val="00A763C0"/>
    <w:rsid w:val="00B437AA"/>
    <w:rsid w:val="00C73066"/>
    <w:rsid w:val="00CD3D31"/>
    <w:rsid w:val="00F4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6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30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306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3066"/>
    <w:rPr>
      <w:sz w:val="20"/>
    </w:rPr>
  </w:style>
  <w:style w:type="character" w:styleId="FootnoteReference">
    <w:name w:val="footnote reference"/>
    <w:basedOn w:val="DefaultParagraphFont"/>
    <w:semiHidden/>
    <w:rsid w:val="00C73066"/>
    <w:rPr>
      <w:vertAlign w:val="superscript"/>
    </w:rPr>
  </w:style>
  <w:style w:type="character" w:styleId="PageNumber">
    <w:name w:val="page number"/>
    <w:basedOn w:val="DefaultParagraphFont"/>
    <w:semiHidden/>
    <w:rsid w:val="00C73066"/>
  </w:style>
  <w:style w:type="paragraph" w:styleId="BodyText2">
    <w:name w:val="Body Text 2"/>
    <w:basedOn w:val="Normal"/>
    <w:rsid w:val="00C73066"/>
    <w:pPr>
      <w:ind w:left="1440" w:hanging="720"/>
      <w:jc w:val="both"/>
    </w:pPr>
    <w:rPr>
      <w:rFonts w:ascii="Arial" w:hAnsi="Arial"/>
      <w:sz w:val="20"/>
    </w:rPr>
  </w:style>
  <w:style w:type="paragraph" w:styleId="Title">
    <w:name w:val="Title"/>
    <w:basedOn w:val="Normal"/>
    <w:qFormat/>
    <w:rsid w:val="00C73066"/>
    <w:pPr>
      <w:jc w:val="center"/>
    </w:pPr>
    <w:rPr>
      <w:rFonts w:ascii="Arial" w:hAnsi="Arial"/>
      <w:b/>
      <w:sz w:val="20"/>
    </w:rPr>
  </w:style>
  <w:style w:type="paragraph" w:styleId="BodyText">
    <w:name w:val="Body Text"/>
    <w:basedOn w:val="Normal"/>
    <w:semiHidden/>
    <w:rsid w:val="00C73066"/>
    <w:pPr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pPr>
      <w:ind w:left="1440" w:hanging="720"/>
      <w:jc w:val="both"/>
    </w:pPr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304</vt:lpstr>
      </vt:variant>
      <vt:variant>
        <vt:i4>0</vt:i4>
      </vt:variant>
    </vt:vector>
  </HeadingPairs>
  <Company>CSU, Fresno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304</dc:title>
  <dc:creator>Microsoft Select Site License</dc:creator>
  <cp:lastModifiedBy>venita baker</cp:lastModifiedBy>
  <cp:revision>2</cp:revision>
  <cp:lastPrinted>2012-03-02T00:30:00Z</cp:lastPrinted>
  <dcterms:created xsi:type="dcterms:W3CDTF">2012-03-02T00:30:00Z</dcterms:created>
  <dcterms:modified xsi:type="dcterms:W3CDTF">2012-03-02T00:30:00Z</dcterms:modified>
</cp:coreProperties>
</file>