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63299A" w:rsidR="000C6AF4" w:rsidRDefault="005A5D95" w:rsidP="006D2431">
      <w:pPr>
        <w:widowControl w:val="0"/>
        <w:suppressLineNumbers/>
        <w:pBdr>
          <w:top w:val="nil"/>
          <w:left w:val="nil"/>
          <w:bottom w:val="nil"/>
          <w:right w:val="nil"/>
          <w:between w:val="nil"/>
        </w:pBdr>
        <w:spacing w:line="276" w:lineRule="auto"/>
      </w:pPr>
      <w:r>
        <w:rPr>
          <w:noProof/>
        </w:rPr>
        <mc:AlternateContent>
          <mc:Choice Requires="wps">
            <w:drawing>
              <wp:anchor distT="0" distB="0" distL="114300" distR="114300" simplePos="0" relativeHeight="251657216" behindDoc="0" locked="0" layoutInCell="1" allowOverlap="1" wp14:anchorId="6522435C" wp14:editId="48476E66">
                <wp:simplePos x="0" y="0"/>
                <wp:positionH relativeFrom="column">
                  <wp:posOffset>0</wp:posOffset>
                </wp:positionH>
                <wp:positionV relativeFrom="paragraph">
                  <wp:posOffset>0</wp:posOffset>
                </wp:positionV>
                <wp:extent cx="635000" cy="635000"/>
                <wp:effectExtent l="0" t="0" r="3175" b="3175"/>
                <wp:wrapNone/>
                <wp:docPr id="3"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117E7E3" id="_x0000_t202" coordsize="21600,21600" o:spt="202" path="m,l,21600r21600,l21600,xe">
                <v:stroke joinstyle="miter"/>
                <v:path gradientshapeok="t" o:connecttype="rect"/>
              </v:shapetype>
              <v:shape id="WordArt 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OxJU0P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6E7EFB75" wp14:editId="4C6F3EA5">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49D45C"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6r9wEAAOU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PjEDqv3AQAA5QMAAA4AAAAAAAAAAAAAAAAALgIAAGRycy9l&#10;Mm9Eb2MueG1sUEsBAi0AFAAGAAgAAAAhACPuRqXYAAAABQEAAA8AAAAAAAAAAAAAAAAAUQQAAGRy&#10;cy9kb3ducmV2LnhtbFBLBQYAAAAABAAEAPMAAABWBQAAAAA=&#10;" filled="f" stroked="f">
                <o:lock v:ext="edit" selection="t" text="t" shapetype="t"/>
              </v:shape>
            </w:pict>
          </mc:Fallback>
        </mc:AlternateContent>
      </w:r>
    </w:p>
    <w:p w14:paraId="00000006" w14:textId="77777777" w:rsidR="000C6AF4" w:rsidRDefault="000C6AF4" w:rsidP="006D2431">
      <w:pPr>
        <w:suppressLineNumbers/>
        <w:pBdr>
          <w:top w:val="nil"/>
          <w:left w:val="nil"/>
          <w:bottom w:val="nil"/>
          <w:right w:val="nil"/>
          <w:between w:val="nil"/>
        </w:pBdr>
        <w:rPr>
          <w:color w:val="000000"/>
          <w:sz w:val="18"/>
          <w:szCs w:val="18"/>
        </w:rPr>
      </w:pPr>
    </w:p>
    <w:p w14:paraId="37D9BD3D" w14:textId="77777777" w:rsidR="00BE2714" w:rsidRDefault="002235CE" w:rsidP="008A3198">
      <w:pPr>
        <w:pBdr>
          <w:top w:val="nil"/>
          <w:left w:val="nil"/>
          <w:bottom w:val="nil"/>
          <w:right w:val="nil"/>
          <w:between w:val="nil"/>
        </w:pBdr>
        <w:tabs>
          <w:tab w:val="left" w:pos="450"/>
          <w:tab w:val="left" w:pos="1890"/>
        </w:tabs>
        <w:spacing w:after="200"/>
        <w:jc w:val="center"/>
        <w:rPr>
          <w:b/>
          <w:color w:val="000000"/>
          <w:sz w:val="28"/>
          <w:szCs w:val="28"/>
        </w:rPr>
      </w:pPr>
      <w:r w:rsidRPr="002235CE">
        <w:rPr>
          <w:b/>
          <w:color w:val="000000"/>
          <w:sz w:val="28"/>
          <w:szCs w:val="28"/>
        </w:rPr>
        <w:t xml:space="preserve">Call for </w:t>
      </w:r>
      <w:r w:rsidR="00BE2714">
        <w:rPr>
          <w:b/>
          <w:color w:val="000000"/>
          <w:sz w:val="28"/>
          <w:szCs w:val="28"/>
        </w:rPr>
        <w:t>M</w:t>
      </w:r>
      <w:r w:rsidR="00BE2714" w:rsidRPr="00BE2714">
        <w:rPr>
          <w:b/>
          <w:color w:val="000000"/>
          <w:sz w:val="28"/>
          <w:szCs w:val="28"/>
        </w:rPr>
        <w:t xml:space="preserve">ore </w:t>
      </w:r>
      <w:r w:rsidR="00BE2714">
        <w:rPr>
          <w:b/>
          <w:color w:val="000000"/>
          <w:sz w:val="28"/>
          <w:szCs w:val="28"/>
        </w:rPr>
        <w:t>I</w:t>
      </w:r>
      <w:r w:rsidR="00BE2714" w:rsidRPr="00BE2714">
        <w:rPr>
          <w:b/>
          <w:color w:val="000000"/>
          <w:sz w:val="28"/>
          <w:szCs w:val="28"/>
        </w:rPr>
        <w:t xml:space="preserve">ntensive </w:t>
      </w:r>
      <w:r w:rsidR="00BE2714">
        <w:rPr>
          <w:b/>
          <w:color w:val="000000"/>
          <w:sz w:val="28"/>
          <w:szCs w:val="28"/>
        </w:rPr>
        <w:t>T</w:t>
      </w:r>
      <w:r w:rsidR="00BE2714" w:rsidRPr="00BE2714">
        <w:rPr>
          <w:b/>
          <w:color w:val="000000"/>
          <w:sz w:val="28"/>
          <w:szCs w:val="28"/>
        </w:rPr>
        <w:t xml:space="preserve">raining for </w:t>
      </w:r>
    </w:p>
    <w:p w14:paraId="08937525" w14:textId="5EE02FD4" w:rsidR="0037078A" w:rsidRDefault="00BE2714" w:rsidP="008A3198">
      <w:pPr>
        <w:pBdr>
          <w:top w:val="nil"/>
          <w:left w:val="nil"/>
          <w:bottom w:val="nil"/>
          <w:right w:val="nil"/>
          <w:between w:val="nil"/>
        </w:pBdr>
        <w:tabs>
          <w:tab w:val="left" w:pos="450"/>
          <w:tab w:val="left" w:pos="1890"/>
        </w:tabs>
        <w:spacing w:after="200"/>
        <w:jc w:val="center"/>
        <w:rPr>
          <w:b/>
          <w:color w:val="000000"/>
          <w:sz w:val="28"/>
          <w:szCs w:val="28"/>
        </w:rPr>
      </w:pPr>
      <w:r>
        <w:rPr>
          <w:b/>
          <w:color w:val="000000"/>
          <w:sz w:val="28"/>
          <w:szCs w:val="28"/>
        </w:rPr>
        <w:t>A</w:t>
      </w:r>
      <w:r w:rsidRPr="00BE2714">
        <w:rPr>
          <w:b/>
          <w:color w:val="000000"/>
          <w:sz w:val="28"/>
          <w:szCs w:val="28"/>
        </w:rPr>
        <w:t xml:space="preserve">dministrators, </w:t>
      </w:r>
      <w:r>
        <w:rPr>
          <w:b/>
          <w:color w:val="000000"/>
          <w:sz w:val="28"/>
          <w:szCs w:val="28"/>
        </w:rPr>
        <w:t>F</w:t>
      </w:r>
      <w:r w:rsidRPr="00BE2714">
        <w:rPr>
          <w:b/>
          <w:color w:val="000000"/>
          <w:sz w:val="28"/>
          <w:szCs w:val="28"/>
        </w:rPr>
        <w:t xml:space="preserve">aculty, and </w:t>
      </w:r>
      <w:r>
        <w:rPr>
          <w:b/>
          <w:color w:val="000000"/>
          <w:sz w:val="28"/>
          <w:szCs w:val="28"/>
        </w:rPr>
        <w:t>S</w:t>
      </w:r>
      <w:r w:rsidRPr="00BE2714">
        <w:rPr>
          <w:b/>
          <w:color w:val="000000"/>
          <w:sz w:val="28"/>
          <w:szCs w:val="28"/>
        </w:rPr>
        <w:t>taff on Title IX</w:t>
      </w:r>
    </w:p>
    <w:p w14:paraId="5997B321" w14:textId="77777777" w:rsidR="008A3198" w:rsidRDefault="008A3198" w:rsidP="008A3198">
      <w:pPr>
        <w:pBdr>
          <w:top w:val="nil"/>
          <w:left w:val="nil"/>
          <w:bottom w:val="nil"/>
          <w:right w:val="nil"/>
          <w:between w:val="nil"/>
        </w:pBdr>
        <w:tabs>
          <w:tab w:val="left" w:pos="450"/>
          <w:tab w:val="left" w:pos="1890"/>
        </w:tabs>
        <w:spacing w:after="200"/>
        <w:jc w:val="center"/>
        <w:rPr>
          <w:b/>
          <w:color w:val="000000"/>
          <w:sz w:val="28"/>
          <w:szCs w:val="28"/>
        </w:rPr>
      </w:pPr>
    </w:p>
    <w:p w14:paraId="023AFCE7" w14:textId="6B9C9CAA" w:rsidR="00BE2714" w:rsidRPr="00BE2714" w:rsidRDefault="006332FB" w:rsidP="00BE2714">
      <w:pPr>
        <w:numPr>
          <w:ilvl w:val="0"/>
          <w:numId w:val="1"/>
        </w:numPr>
        <w:pBdr>
          <w:top w:val="nil"/>
          <w:left w:val="nil"/>
          <w:bottom w:val="nil"/>
          <w:right w:val="nil"/>
          <w:between w:val="nil"/>
        </w:pBdr>
        <w:tabs>
          <w:tab w:val="left" w:pos="450"/>
          <w:tab w:val="left" w:pos="1890"/>
        </w:tabs>
        <w:spacing w:after="200" w:line="480" w:lineRule="auto"/>
        <w:ind w:left="446" w:hanging="360"/>
      </w:pPr>
      <w:r w:rsidRPr="008A3198">
        <w:rPr>
          <w:b/>
          <w:bCs/>
        </w:rPr>
        <w:t>RESOLVED</w:t>
      </w:r>
      <w:r w:rsidR="002235CE" w:rsidRPr="008A3198">
        <w:rPr>
          <w:b/>
          <w:bCs/>
        </w:rPr>
        <w:t>:</w:t>
      </w:r>
      <w:r w:rsidR="002235CE">
        <w:tab/>
      </w:r>
      <w:r w:rsidR="00BE2714" w:rsidRPr="00BE2714">
        <w:t xml:space="preserve">The </w:t>
      </w:r>
      <w:r w:rsidR="001307D7">
        <w:t xml:space="preserve">Academic Senate of California State University, Fresno calls for </w:t>
      </w:r>
      <w:r w:rsidR="00BE2714" w:rsidRPr="00BE2714">
        <w:t>more</w:t>
      </w:r>
      <w:r w:rsidR="00FF3DF5">
        <w:t xml:space="preserve"> frequent and more</w:t>
      </w:r>
      <w:r w:rsidR="00BE2714" w:rsidRPr="00BE2714">
        <w:t xml:space="preserve"> intensive training for administrators, faculty, and staff on Title IX so that events similar to the continued acts of sexual misconduct by a </w:t>
      </w:r>
      <w:r w:rsidR="005E7B45">
        <w:t xml:space="preserve">Frank </w:t>
      </w:r>
      <w:r w:rsidR="00BE2714" w:rsidRPr="00BE2714">
        <w:t xml:space="preserve">Lamas </w:t>
      </w:r>
      <w:r w:rsidR="008A3198">
        <w:t xml:space="preserve">that were mishandled and subsequently covered up by former Chancellor Joseph I. Castro, </w:t>
      </w:r>
      <w:r w:rsidR="00BE2714" w:rsidRPr="00BE2714">
        <w:t xml:space="preserve">never happen again. </w:t>
      </w:r>
      <w:r w:rsidR="00FF3DF5">
        <w:t xml:space="preserve"> Because t</w:t>
      </w:r>
      <w:r w:rsidR="00BE2714" w:rsidRPr="00BE2714">
        <w:t>he culture of academia has long included caveats which excuse unwanted comments and actions towards gender and sexual minorities</w:t>
      </w:r>
      <w:r w:rsidR="00FF3DF5">
        <w:t>, the</w:t>
      </w:r>
      <w:r w:rsidR="00BE2714" w:rsidRPr="00BE2714">
        <w:t xml:space="preserve"> time </w:t>
      </w:r>
      <w:r w:rsidR="00FF3DF5">
        <w:t xml:space="preserve">has </w:t>
      </w:r>
      <w:r w:rsidR="008A3198">
        <w:t xml:space="preserve">long since passed </w:t>
      </w:r>
      <w:r w:rsidR="00BE2714" w:rsidRPr="00BE2714">
        <w:t xml:space="preserve">for everyone to understand the entirety of the Interim (and eventually final) </w:t>
      </w:r>
      <w:hyperlink r:id="rId9" w:history="1">
        <w:r w:rsidR="00BE2714" w:rsidRPr="00BE2714">
          <w:rPr>
            <w:rStyle w:val="Hyperlink"/>
          </w:rPr>
          <w:t>CSU Policy Prohibiting Discrimination, Harassment, Sexual Misconduct, Sexual Exploitation, Dating Violence, Domestic Violence, Stalking, and Retaliation</w:t>
        </w:r>
      </w:hyperlink>
      <w:r w:rsidR="00BE2714" w:rsidRPr="00BE2714">
        <w:t xml:space="preserve"> and the history of how and why this policy came to be at the federal level</w:t>
      </w:r>
      <w:r w:rsidR="003311A4">
        <w:t>; and be it further</w:t>
      </w:r>
    </w:p>
    <w:p w14:paraId="0000000B" w14:textId="31546301" w:rsidR="000C6AF4" w:rsidRDefault="009C181D">
      <w:pPr>
        <w:numPr>
          <w:ilvl w:val="0"/>
          <w:numId w:val="1"/>
        </w:numPr>
        <w:pBdr>
          <w:top w:val="nil"/>
          <w:left w:val="nil"/>
          <w:bottom w:val="nil"/>
          <w:right w:val="nil"/>
          <w:between w:val="nil"/>
        </w:pBdr>
        <w:tabs>
          <w:tab w:val="left" w:pos="450"/>
          <w:tab w:val="left" w:pos="1890"/>
        </w:tabs>
        <w:spacing w:line="480" w:lineRule="auto"/>
        <w:ind w:left="446" w:hanging="360"/>
      </w:pPr>
      <w:r w:rsidRPr="008A3198">
        <w:rPr>
          <w:b/>
          <w:bCs/>
          <w:color w:val="000000"/>
        </w:rPr>
        <w:t>RESOLVED:</w:t>
      </w:r>
      <w:r w:rsidRPr="008A3198">
        <w:rPr>
          <w:b/>
          <w:bCs/>
          <w:color w:val="000000"/>
        </w:rPr>
        <w:tab/>
      </w:r>
      <w:r>
        <w:rPr>
          <w:color w:val="000000"/>
        </w:rPr>
        <w:t>That the</w:t>
      </w:r>
      <w:r>
        <w:t xml:space="preserve"> Academic Senate of California State University, Fresno</w:t>
      </w:r>
      <w:r w:rsidR="00C41817">
        <w:rPr>
          <w:color w:val="000000"/>
        </w:rPr>
        <w:t xml:space="preserve"> distribute this resolution to </w:t>
      </w:r>
    </w:p>
    <w:p w14:paraId="0000000C" w14:textId="77777777" w:rsidR="000C6AF4" w:rsidRDefault="00C41817" w:rsidP="00B2432C">
      <w:pPr>
        <w:numPr>
          <w:ilvl w:val="0"/>
          <w:numId w:val="2"/>
        </w:numPr>
        <w:pBdr>
          <w:top w:val="nil"/>
          <w:left w:val="nil"/>
          <w:bottom w:val="nil"/>
          <w:right w:val="nil"/>
          <w:between w:val="nil"/>
        </w:pBdr>
        <w:tabs>
          <w:tab w:val="left" w:pos="1080"/>
        </w:tabs>
        <w:spacing w:after="40" w:line="360" w:lineRule="auto"/>
        <w:ind w:left="1080"/>
        <w:rPr>
          <w:color w:val="000000"/>
          <w:u w:val="single"/>
        </w:rPr>
      </w:pPr>
      <w:r>
        <w:rPr>
          <w:color w:val="000000"/>
        </w:rPr>
        <w:t xml:space="preserve">CSU Board of Trustees, </w:t>
      </w:r>
    </w:p>
    <w:p w14:paraId="0000000D" w14:textId="204D701A"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t xml:space="preserve">CSU </w:t>
      </w:r>
      <w:r w:rsidR="0007573E">
        <w:rPr>
          <w:color w:val="000000"/>
        </w:rPr>
        <w:t xml:space="preserve">acting </w:t>
      </w:r>
      <w:r>
        <w:rPr>
          <w:color w:val="000000"/>
        </w:rPr>
        <w:t xml:space="preserve">Chancellor, </w:t>
      </w:r>
    </w:p>
    <w:p w14:paraId="0000000E" w14:textId="283A589C"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t>CSU</w:t>
      </w:r>
      <w:r w:rsidR="00DF2C31">
        <w:rPr>
          <w:color w:val="000000"/>
        </w:rPr>
        <w:t xml:space="preserve"> </w:t>
      </w:r>
      <w:r w:rsidR="009C181D">
        <w:rPr>
          <w:color w:val="000000"/>
        </w:rPr>
        <w:t>Fresno</w:t>
      </w:r>
      <w:r w:rsidR="00DF2C31">
        <w:rPr>
          <w:color w:val="000000"/>
        </w:rPr>
        <w:t xml:space="preserve"> President</w:t>
      </w:r>
      <w:r w:rsidR="008A3198">
        <w:rPr>
          <w:color w:val="000000"/>
        </w:rPr>
        <w:t xml:space="preserve">, </w:t>
      </w:r>
    </w:p>
    <w:p w14:paraId="4FDE6423"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 of the California State University (ASCSU),</w:t>
      </w:r>
    </w:p>
    <w:p w14:paraId="070DFF10" w14:textId="48F24F47" w:rsidR="005A5D95" w:rsidRDefault="005A5D95"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w:t>
      </w:r>
      <w:r>
        <w:rPr>
          <w:color w:val="000000"/>
        </w:rPr>
        <w:t xml:space="preserve">s of our 22 sister campuses in </w:t>
      </w:r>
      <w:r w:rsidRPr="00DF2C31">
        <w:rPr>
          <w:color w:val="000000"/>
        </w:rPr>
        <w:t>California State University</w:t>
      </w:r>
      <w:r>
        <w:rPr>
          <w:color w:val="000000"/>
        </w:rPr>
        <w:t xml:space="preserve"> system.</w:t>
      </w:r>
    </w:p>
    <w:p w14:paraId="21B464FD" w14:textId="6C9ABB3D"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lastRenderedPageBreak/>
        <w:t>California Faculty Association (CFA),</w:t>
      </w:r>
    </w:p>
    <w:p w14:paraId="3DBB5C10"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Senate Education Committee,</w:t>
      </w:r>
    </w:p>
    <w:p w14:paraId="042B6AD8" w14:textId="221E32C7" w:rsidR="006332FB"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Assembly Higher Education Committee</w:t>
      </w:r>
    </w:p>
    <w:p w14:paraId="00B00E12" w14:textId="77777777" w:rsidR="00AE6A73" w:rsidRDefault="00AE6A73" w:rsidP="00AE6A73">
      <w:pPr>
        <w:pBdr>
          <w:top w:val="nil"/>
          <w:left w:val="nil"/>
          <w:bottom w:val="nil"/>
          <w:right w:val="nil"/>
          <w:between w:val="nil"/>
        </w:pBdr>
        <w:tabs>
          <w:tab w:val="left" w:pos="450"/>
          <w:tab w:val="left" w:pos="1890"/>
        </w:tabs>
        <w:spacing w:after="200" w:line="480" w:lineRule="auto"/>
        <w:rPr>
          <w:color w:val="000000"/>
        </w:rPr>
      </w:pPr>
    </w:p>
    <w:p w14:paraId="140730E0" w14:textId="496B0638" w:rsidR="005E7B45" w:rsidRDefault="00AE6A73" w:rsidP="005E7B45">
      <w:pPr>
        <w:spacing w:line="480" w:lineRule="auto"/>
      </w:pPr>
      <w:r w:rsidRPr="00AE6A73">
        <w:rPr>
          <w:b/>
          <w:color w:val="000000"/>
        </w:rPr>
        <w:t>RATIONALLE:</w:t>
      </w:r>
      <w:r w:rsidR="005E7B45">
        <w:rPr>
          <w:color w:val="000000"/>
        </w:rPr>
        <w:t xml:space="preserve"> </w:t>
      </w:r>
      <w:r w:rsidR="005E7B45">
        <w:t>The initial response emails and letters to the USA Today article</w:t>
      </w:r>
      <w:r w:rsidR="005E7B45">
        <w:rPr>
          <w:rStyle w:val="FootnoteReference"/>
        </w:rPr>
        <w:footnoteReference w:id="1"/>
      </w:r>
      <w:r w:rsidR="005E7B45">
        <w:t xml:space="preserve"> from former Chancellor Joseph I. Castro</w:t>
      </w:r>
      <w:r w:rsidR="005E7B45">
        <w:rPr>
          <w:rStyle w:val="FootnoteReference"/>
        </w:rPr>
        <w:footnoteReference w:id="2"/>
      </w:r>
      <w:r w:rsidR="005E7B45">
        <w:t xml:space="preserve"> and President Saul Jiménez-Sandoval</w:t>
      </w:r>
      <w:r w:rsidR="005E7B45">
        <w:rPr>
          <w:rStyle w:val="FootnoteReference"/>
        </w:rPr>
        <w:footnoteReference w:id="3"/>
      </w:r>
      <w:r w:rsidR="005E7B45">
        <w:t xml:space="preserve"> stated that </w:t>
      </w:r>
      <w:r w:rsidR="005E7B45" w:rsidRPr="003D2201">
        <w:t>the investigations involving Dr. Lamas’ actions were handled appropriately in compliance with CSU, state and federal policies</w:t>
      </w:r>
      <w:r w:rsidR="005E7B45">
        <w:t>. However, t</w:t>
      </w:r>
      <w:r w:rsidR="005E7B45" w:rsidRPr="00D34F0B">
        <w:t xml:space="preserve">he </w:t>
      </w:r>
      <w:r w:rsidR="00846981">
        <w:t xml:space="preserve">explanatory </w:t>
      </w:r>
      <w:r w:rsidR="005E7B45" w:rsidRPr="00D34F0B">
        <w:t xml:space="preserve">excuse that the university could not act until they had a ‘formal complaint from a victim’ is in violation of Title IX expectations. </w:t>
      </w:r>
    </w:p>
    <w:p w14:paraId="377C91DC" w14:textId="3A205935" w:rsidR="009E2076" w:rsidRDefault="001307D7" w:rsidP="001307D7">
      <w:pPr>
        <w:spacing w:line="480" w:lineRule="auto"/>
      </w:pPr>
      <w:r w:rsidRPr="00AE6A73">
        <w:rPr>
          <w:b/>
          <w:color w:val="000000"/>
        </w:rPr>
        <w:t>RATIONALLE:</w:t>
      </w:r>
      <w:r w:rsidRPr="001307D7">
        <w:rPr>
          <w:b/>
          <w:color w:val="000000"/>
        </w:rPr>
        <w:t xml:space="preserve"> </w:t>
      </w:r>
      <w:r>
        <w:t>A follow-up email</w:t>
      </w:r>
      <w:r w:rsidR="00FF3DF5">
        <w:rPr>
          <w:rStyle w:val="FootnoteReference"/>
        </w:rPr>
        <w:footnoteReference w:id="4"/>
      </w:r>
      <w:r w:rsidR="00FF3DF5">
        <w:t xml:space="preserve"> </w:t>
      </w:r>
      <w:r>
        <w:t xml:space="preserve">from the Title IX </w:t>
      </w:r>
      <w:r w:rsidR="002D22C1">
        <w:t xml:space="preserve">and </w:t>
      </w:r>
      <w:proofErr w:type="spellStart"/>
      <w:r w:rsidR="002D22C1">
        <w:t>Clery</w:t>
      </w:r>
      <w:proofErr w:type="spellEnd"/>
      <w:r w:rsidR="002D22C1">
        <w:t xml:space="preserve"> Compl</w:t>
      </w:r>
      <w:r w:rsidR="008F0F79">
        <w:t>iance</w:t>
      </w:r>
      <w:r w:rsidR="002D22C1">
        <w:t xml:space="preserve"> </w:t>
      </w:r>
      <w:r>
        <w:t>Office on Feb 2</w:t>
      </w:r>
      <w:r w:rsidR="008F0F79">
        <w:t>3</w:t>
      </w:r>
      <w:r>
        <w:t xml:space="preserve"> alluded to a formal complaint being necessary for investigation when a statement was given that “support would be offered regardless of whether or not there is a formal complaint.”</w:t>
      </w:r>
      <w:r w:rsidR="00542F9F">
        <w:t xml:space="preserve">  </w:t>
      </w:r>
      <w:r w:rsidR="009E2076">
        <w:t>Multiple administrators, faculty, and staff appeared to believe (erroneously) that the university had acted in accordance with Title IX.  To counter these erroneous beliefs, documentation of the policy had to be provided when challenging the assertion that the campus responded in accordance with Title IX</w:t>
      </w:r>
    </w:p>
    <w:p w14:paraId="25C8C729" w14:textId="47EFAF4C" w:rsidR="009E2076" w:rsidRDefault="009E2076" w:rsidP="00CE69E1">
      <w:pPr>
        <w:pBdr>
          <w:top w:val="nil"/>
          <w:left w:val="nil"/>
          <w:bottom w:val="nil"/>
          <w:right w:val="nil"/>
          <w:between w:val="nil"/>
        </w:pBdr>
        <w:tabs>
          <w:tab w:val="left" w:pos="1080"/>
        </w:tabs>
        <w:spacing w:after="40" w:line="360" w:lineRule="auto"/>
      </w:pPr>
      <w:r w:rsidRPr="00AE6A73">
        <w:rPr>
          <w:b/>
          <w:color w:val="000000"/>
        </w:rPr>
        <w:t>RATIONALLE:</w:t>
      </w:r>
      <w:r>
        <w:rPr>
          <w:b/>
          <w:color w:val="000000"/>
        </w:rPr>
        <w:t xml:space="preserve"> </w:t>
      </w:r>
      <w:r>
        <w:t xml:space="preserve"> It is clear in Title IX that a</w:t>
      </w:r>
      <w:r w:rsidRPr="00D34F0B">
        <w:t xml:space="preserve">n investigation could have been started without a formal complaint, especially considering there were 12 previous informal complaints regarding Lamas’ behaviors. </w:t>
      </w:r>
      <w:r>
        <w:t>E</w:t>
      </w:r>
      <w:r w:rsidRPr="00D34F0B">
        <w:t>xcerpts</w:t>
      </w:r>
      <w:r>
        <w:t xml:space="preserve"> from Title IX</w:t>
      </w:r>
      <w:r w:rsidRPr="00D34F0B">
        <w:t xml:space="preserve"> </w:t>
      </w:r>
      <w:r w:rsidR="00723988">
        <w:t xml:space="preserve">and other documents </w:t>
      </w:r>
      <w:r w:rsidRPr="00D34F0B">
        <w:t>show that the university had the ability and responsibility to respond to the repeated informal complaints</w:t>
      </w:r>
      <w:r>
        <w:t xml:space="preserve"> dating from 2014 that had been</w:t>
      </w:r>
      <w:r w:rsidRPr="00D34F0B">
        <w:t xml:space="preserve"> made prior to 2019</w:t>
      </w:r>
      <w:r>
        <w:t xml:space="preserve"> formal complaint</w:t>
      </w:r>
      <w:r w:rsidR="00723988">
        <w:t>.  Additionally, f</w:t>
      </w:r>
      <w:r w:rsidR="00723988" w:rsidRPr="00D34F0B">
        <w:t>ormal complaints can be made by any person, including a third party who heard about or witnessed the action</w:t>
      </w:r>
      <w:r w:rsidR="00723988">
        <w:t>.</w:t>
      </w:r>
    </w:p>
    <w:p w14:paraId="728E4D7A" w14:textId="07607C05" w:rsidR="009E2076" w:rsidRPr="00D34F0B" w:rsidRDefault="009E2076" w:rsidP="00CE69E1">
      <w:pPr>
        <w:spacing w:line="480" w:lineRule="auto"/>
        <w:ind w:left="1296"/>
      </w:pPr>
      <w:r>
        <w:lastRenderedPageBreak/>
        <w:tab/>
      </w:r>
      <w:r w:rsidRPr="00D34F0B">
        <w:t>“</w:t>
      </w:r>
      <w:hyperlink r:id="rId10" w:tgtFrame="_blank" w:history="1">
        <w:r w:rsidRPr="00D34F0B">
          <w:rPr>
            <w:color w:val="0563C1"/>
            <w:u w:val="single"/>
          </w:rPr>
          <w:t>Title IX notice of non-discrimination for students</w:t>
        </w:r>
      </w:hyperlink>
      <w:r w:rsidRPr="00D34F0B">
        <w:t xml:space="preserve">” </w:t>
      </w:r>
      <w:r w:rsidR="00E86959">
        <w:rPr>
          <w:rStyle w:val="FootnoteReference"/>
        </w:rPr>
        <w:footnoteReference w:id="5"/>
      </w:r>
      <w:r w:rsidRPr="00D34F0B">
        <w:t xml:space="preserve">from 2012 states: </w:t>
      </w:r>
    </w:p>
    <w:p w14:paraId="2AA19A9F" w14:textId="07D5F451" w:rsidR="00AE6A73" w:rsidRDefault="00723988" w:rsidP="00723988">
      <w:pPr>
        <w:pBdr>
          <w:top w:val="nil"/>
          <w:left w:val="nil"/>
          <w:bottom w:val="nil"/>
          <w:right w:val="nil"/>
          <w:between w:val="nil"/>
        </w:pBdr>
        <w:tabs>
          <w:tab w:val="left" w:pos="1080"/>
        </w:tabs>
        <w:spacing w:after="40" w:line="480" w:lineRule="auto"/>
        <w:ind w:left="1440"/>
      </w:pPr>
      <w:r>
        <w:t>“</w:t>
      </w:r>
      <w:r w:rsidR="009E2076" w:rsidRPr="00D34F0B">
        <w:t>Regardless of whether an alleged victim of sexual discrimination ultimately files a complaint, if the campus knows or has reason to know about possible sexual discrimination, harassment or violence, it must review the matter to determine if an investigation is warranted. The campus must then take appropriate steps to eliminate any sex discrimination/harassment, prevent its recurrence, and remedy its effects.</w:t>
      </w:r>
      <w:r>
        <w:t>”</w:t>
      </w:r>
    </w:p>
    <w:p w14:paraId="615E8C76" w14:textId="77D3C8A4" w:rsidR="00CE69E1" w:rsidRPr="00D34F0B" w:rsidRDefault="00723988" w:rsidP="00723988">
      <w:pPr>
        <w:spacing w:line="480" w:lineRule="auto"/>
        <w:ind w:left="1440"/>
      </w:pPr>
      <w:r>
        <w:t>Furthermore,</w:t>
      </w:r>
      <w:r w:rsidR="00CE69E1" w:rsidRPr="00D34F0B">
        <w:t xml:space="preserve"> a 2013 document</w:t>
      </w:r>
      <w:r w:rsidR="00CE69E1">
        <w:rPr>
          <w:rStyle w:val="FootnoteReference"/>
        </w:rPr>
        <w:footnoteReference w:id="6"/>
      </w:r>
      <w:r w:rsidR="00CE69E1" w:rsidRPr="00D34F0B">
        <w:t xml:space="preserve"> published by the National Center for Higher Education Risk Management</w:t>
      </w:r>
      <w:r>
        <w:t xml:space="preserve"> states</w:t>
      </w:r>
      <w:r w:rsidR="00CE69E1" w:rsidRPr="00D34F0B">
        <w:t xml:space="preserve">: </w:t>
      </w:r>
    </w:p>
    <w:p w14:paraId="033F65C2" w14:textId="68101E35" w:rsidR="00CE69E1" w:rsidRPr="00D34F0B" w:rsidRDefault="00CE69E1" w:rsidP="00CE69E1">
      <w:pPr>
        <w:spacing w:line="480" w:lineRule="auto"/>
        <w:ind w:left="1440"/>
      </w:pPr>
      <w:r>
        <w:t>“</w:t>
      </w:r>
      <w:r w:rsidRPr="00D34F0B">
        <w:t>Once the coordinator or other appropriate administra</w:t>
      </w:r>
      <w:r w:rsidRPr="00D34F0B">
        <w:softHyphen/>
        <w:t xml:space="preserve">tor or investigator receives the report, they would conduct a “small </w:t>
      </w:r>
      <w:proofErr w:type="spellStart"/>
      <w:r w:rsidRPr="00D34F0B">
        <w:t>i</w:t>
      </w:r>
      <w:proofErr w:type="spellEnd"/>
      <w:r w:rsidRPr="00D34F0B">
        <w:t>” preliminary inquiry or investigation, looking into the incident description, history file, and whether the report matches any other recent reports. With any sign of pattern, predation, violence, or threat, institutional obliga</w:t>
      </w:r>
      <w:r w:rsidRPr="00D34F0B">
        <w:softHyphen/>
        <w:t>tions cannot be determined solely by what the victim wants. However, administrators can take gradual “next steps,” such as requiring more information from the re</w:t>
      </w:r>
      <w:r w:rsidRPr="00D34F0B">
        <w:softHyphen/>
        <w:t xml:space="preserve">porter, meeting with the alleged victim, and deciding what remedial actions are needed, desired, and possible…. victims should also know that actions may need to be sped up, depending on whether the circumstances indicate a need to protect the community….In some cases, the “small </w:t>
      </w:r>
      <w:proofErr w:type="spellStart"/>
      <w:r w:rsidRPr="00D34F0B">
        <w:t>i</w:t>
      </w:r>
      <w:proofErr w:type="spellEnd"/>
      <w:r w:rsidRPr="00D34F0B">
        <w:t>” will lead to the “big I,” which is a thorough, reliable, and impartial full investigation. In cases where the preliminary investigation does not indi</w:t>
      </w:r>
      <w:r w:rsidRPr="00D34F0B">
        <w:softHyphen/>
        <w:t xml:space="preserve">cate pattern, predation, </w:t>
      </w:r>
      <w:r w:rsidRPr="00D34F0B">
        <w:lastRenderedPageBreak/>
        <w:t>threat, or violence, the campus has more latitude to respect the wishes of the victim</w:t>
      </w:r>
      <w:proofErr w:type="gramStart"/>
      <w:r w:rsidRPr="00D34F0B">
        <w:t>…..</w:t>
      </w:r>
      <w:proofErr w:type="gramEnd"/>
      <w:r w:rsidRPr="00D34F0B">
        <w:t>However, where pattern, predation, threat, or violence are indicated by the preliminary investigation, the campus will have to pursue the notice to the fullest extent pos</w:t>
      </w:r>
      <w:r w:rsidRPr="00D34F0B">
        <w:softHyphen/>
        <w:t>sible, understanding that victims still have the right to consent or refuse to participate.</w:t>
      </w:r>
      <w:r>
        <w:t>”</w:t>
      </w:r>
    </w:p>
    <w:p w14:paraId="77276EB6" w14:textId="77777777" w:rsidR="00AE6A73" w:rsidRPr="00DF2C31" w:rsidRDefault="00AE6A73" w:rsidP="00C7695D">
      <w:pPr>
        <w:pBdr>
          <w:top w:val="nil"/>
          <w:left w:val="nil"/>
          <w:bottom w:val="nil"/>
          <w:right w:val="nil"/>
          <w:between w:val="nil"/>
        </w:pBdr>
        <w:tabs>
          <w:tab w:val="left" w:pos="1080"/>
        </w:tabs>
        <w:spacing w:after="40" w:line="360" w:lineRule="auto"/>
        <w:rPr>
          <w:color w:val="000000"/>
        </w:rPr>
      </w:pPr>
    </w:p>
    <w:sectPr w:rsidR="00AE6A73" w:rsidRPr="00DF2C31" w:rsidSect="006D2431">
      <w:headerReference w:type="even" r:id="rId11"/>
      <w:headerReference w:type="default" r:id="rId12"/>
      <w:footerReference w:type="default" r:id="rId13"/>
      <w:headerReference w:type="first" r:id="rId14"/>
      <w:pgSz w:w="12240" w:h="15840"/>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AE5A" w14:textId="77777777" w:rsidR="001B16EB" w:rsidRDefault="001B16EB">
      <w:r>
        <w:separator/>
      </w:r>
    </w:p>
  </w:endnote>
  <w:endnote w:type="continuationSeparator" w:id="0">
    <w:p w14:paraId="6215D1E4" w14:textId="77777777" w:rsidR="001B16EB" w:rsidRDefault="001B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37078A" w:rsidRDefault="0037078A">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BBDE" w14:textId="77777777" w:rsidR="001B16EB" w:rsidRDefault="001B16EB">
      <w:r>
        <w:separator/>
      </w:r>
    </w:p>
  </w:footnote>
  <w:footnote w:type="continuationSeparator" w:id="0">
    <w:p w14:paraId="0AD744B9" w14:textId="77777777" w:rsidR="001B16EB" w:rsidRDefault="001B16EB">
      <w:r>
        <w:continuationSeparator/>
      </w:r>
    </w:p>
  </w:footnote>
  <w:footnote w:id="1">
    <w:p w14:paraId="29B9BC16" w14:textId="0162EAD7" w:rsidR="005E7B45" w:rsidRPr="00CD2927" w:rsidRDefault="005E7B45" w:rsidP="00CD2927">
      <w:pPr>
        <w:pStyle w:val="NormalWeb"/>
        <w:spacing w:before="0" w:beforeAutospacing="0" w:after="0" w:afterAutospacing="0"/>
        <w:rPr>
          <w:rFonts w:eastAsia="Times New Roman"/>
        </w:rPr>
      </w:pPr>
      <w:r>
        <w:rPr>
          <w:rStyle w:val="FootnoteReference"/>
        </w:rPr>
        <w:footnoteRef/>
      </w:r>
      <w:r>
        <w:t xml:space="preserve"> </w:t>
      </w:r>
      <w:r w:rsidRPr="005E7B45">
        <w:rPr>
          <w:rFonts w:ascii="TimesNewRomanPSMT" w:eastAsia="Times New Roman" w:hAnsi="TimesNewRomanPSMT"/>
          <w:sz w:val="20"/>
          <w:szCs w:val="20"/>
        </w:rPr>
        <w:t xml:space="preserve">Jacoby, K. (2022) </w:t>
      </w:r>
      <w:r w:rsidRPr="005E7B45">
        <w:rPr>
          <w:rFonts w:ascii="TimesNewRomanPSMT" w:eastAsia="Times New Roman" w:hAnsi="TimesNewRomanPSMT"/>
          <w:color w:val="0000FF"/>
          <w:sz w:val="20"/>
          <w:szCs w:val="20"/>
        </w:rPr>
        <w:t>Fresno State president mishandled sexual harassment complaints. Now he leads all 23 Cal State colleges</w:t>
      </w:r>
      <w:r w:rsidRPr="005E7B45">
        <w:rPr>
          <w:rFonts w:ascii="TimesNewRomanPSMT" w:eastAsia="Times New Roman" w:hAnsi="TimesNewRomanPSMT"/>
          <w:sz w:val="20"/>
          <w:szCs w:val="20"/>
        </w:rPr>
        <w:t xml:space="preserve">. </w:t>
      </w:r>
      <w:r w:rsidRPr="005E7B45">
        <w:rPr>
          <w:rFonts w:ascii="TimesNewRomanPS" w:eastAsia="Times New Roman" w:hAnsi="TimesNewRomanPS"/>
          <w:i/>
          <w:iCs/>
          <w:sz w:val="20"/>
          <w:szCs w:val="20"/>
        </w:rPr>
        <w:t xml:space="preserve">USA Today </w:t>
      </w:r>
      <w:r w:rsidRPr="005E7B45">
        <w:rPr>
          <w:rFonts w:ascii="TimesNewRomanPSMT" w:eastAsia="Times New Roman" w:hAnsi="TimesNewRomanPSMT"/>
          <w:sz w:val="20"/>
          <w:szCs w:val="20"/>
        </w:rPr>
        <w:t>February 3.</w:t>
      </w:r>
    </w:p>
  </w:footnote>
  <w:footnote w:id="2">
    <w:p w14:paraId="4ACA166B" w14:textId="4AD7EC3B" w:rsidR="005E7B45" w:rsidRPr="00CD2927" w:rsidRDefault="005E7B45" w:rsidP="00CD2927">
      <w:pPr>
        <w:pStyle w:val="NormalWeb"/>
        <w:spacing w:before="0" w:beforeAutospacing="0" w:after="0" w:afterAutospacing="0"/>
        <w:rPr>
          <w:rFonts w:eastAsia="Times New Roman"/>
        </w:rPr>
      </w:pPr>
      <w:r>
        <w:rPr>
          <w:rStyle w:val="FootnoteReference"/>
        </w:rPr>
        <w:footnoteRef/>
      </w:r>
      <w:r>
        <w:t xml:space="preserve"> </w:t>
      </w:r>
      <w:r w:rsidRPr="005E7B45">
        <w:rPr>
          <w:rFonts w:ascii="TimesNewRomanPSMT" w:eastAsia="Times New Roman" w:hAnsi="TimesNewRomanPSMT"/>
          <w:sz w:val="20"/>
          <w:szCs w:val="20"/>
        </w:rPr>
        <w:t xml:space="preserve">Castro, J. (2022) </w:t>
      </w:r>
      <w:r w:rsidRPr="005E7B45">
        <w:rPr>
          <w:rFonts w:ascii="TimesNewRomanPSMT" w:eastAsia="Times New Roman" w:hAnsi="TimesNewRomanPSMT"/>
          <w:color w:val="0000FF"/>
          <w:sz w:val="20"/>
          <w:szCs w:val="20"/>
        </w:rPr>
        <w:t>An Open Letter from Chancellor Castro to the CSU Community</w:t>
      </w:r>
      <w:r w:rsidRPr="005E7B45">
        <w:rPr>
          <w:rFonts w:ascii="TimesNewRomanPSMT" w:eastAsia="Times New Roman" w:hAnsi="TimesNewRomanPSMT"/>
          <w:sz w:val="20"/>
          <w:szCs w:val="20"/>
        </w:rPr>
        <w:t>. February 4.</w:t>
      </w:r>
    </w:p>
  </w:footnote>
  <w:footnote w:id="3">
    <w:p w14:paraId="299B2BE7" w14:textId="2877B7FD" w:rsidR="005E7B45" w:rsidRDefault="005E7B45" w:rsidP="00CD2927">
      <w:pPr>
        <w:pStyle w:val="FootnoteText"/>
      </w:pPr>
      <w:r>
        <w:rPr>
          <w:rStyle w:val="FootnoteReference"/>
        </w:rPr>
        <w:footnoteRef/>
      </w:r>
      <w:r>
        <w:t xml:space="preserve"> Jimenez-</w:t>
      </w:r>
      <w:proofErr w:type="spellStart"/>
      <w:r>
        <w:t>Sand</w:t>
      </w:r>
      <w:r w:rsidR="002D22C1">
        <w:t>v</w:t>
      </w:r>
      <w:r>
        <w:t>al</w:t>
      </w:r>
      <w:proofErr w:type="spellEnd"/>
      <w:r>
        <w:t xml:space="preserve">, S. (2022) </w:t>
      </w:r>
      <w:r w:rsidRPr="007C0809">
        <w:rPr>
          <w:color w:val="548DD4" w:themeColor="text2" w:themeTint="99"/>
          <w:highlight w:val="yellow"/>
        </w:rPr>
        <w:t>Response</w:t>
      </w:r>
      <w:r w:rsidR="001739B3" w:rsidRPr="007C0809">
        <w:rPr>
          <w:color w:val="548DD4" w:themeColor="text2" w:themeTint="99"/>
          <w:highlight w:val="yellow"/>
        </w:rPr>
        <w:t xml:space="preserve"> to the Fresno State Community</w:t>
      </w:r>
      <w:r w:rsidR="001739B3">
        <w:t>, February 6.</w:t>
      </w:r>
    </w:p>
  </w:footnote>
  <w:footnote w:id="4">
    <w:p w14:paraId="79870A8E" w14:textId="6ECE9128" w:rsidR="00FF3DF5" w:rsidRDefault="00FF3DF5" w:rsidP="00CD2927">
      <w:pPr>
        <w:pStyle w:val="FootnoteText"/>
      </w:pPr>
      <w:r>
        <w:rPr>
          <w:rStyle w:val="FootnoteReference"/>
        </w:rPr>
        <w:footnoteRef/>
      </w:r>
      <w:r>
        <w:t xml:space="preserve"> </w:t>
      </w:r>
      <w:r w:rsidR="007C0809">
        <w:t>Ponti</w:t>
      </w:r>
      <w:r w:rsidR="002D22C1">
        <w:t>u</w:t>
      </w:r>
      <w:r w:rsidR="007C0809">
        <w:t>s-Hoga</w:t>
      </w:r>
      <w:r w:rsidR="001E44E9">
        <w:t>n</w:t>
      </w:r>
      <w:r>
        <w:t xml:space="preserve"> J.(2022)  </w:t>
      </w:r>
      <w:r w:rsidRPr="007C0809">
        <w:rPr>
          <w:color w:val="548DD4" w:themeColor="text2" w:themeTint="99"/>
          <w:highlight w:val="yellow"/>
        </w:rPr>
        <w:t>Title XI response</w:t>
      </w:r>
      <w:r w:rsidRPr="00CD2927">
        <w:rPr>
          <w:color w:val="548DD4" w:themeColor="text2" w:themeTint="99"/>
        </w:rPr>
        <w:t xml:space="preserve">, </w:t>
      </w:r>
      <w:r>
        <w:t>February 2</w:t>
      </w:r>
      <w:r w:rsidR="008F0F79">
        <w:t>3</w:t>
      </w:r>
    </w:p>
  </w:footnote>
  <w:footnote w:id="5">
    <w:p w14:paraId="1B8274E1" w14:textId="75529CB4" w:rsidR="00E86959" w:rsidRPr="007C0809" w:rsidRDefault="00E86959">
      <w:pPr>
        <w:pStyle w:val="FootnoteText"/>
        <w:rPr>
          <w:highlight w:val="yellow"/>
        </w:rPr>
      </w:pPr>
      <w:r w:rsidRPr="00E86959">
        <w:rPr>
          <w:rStyle w:val="FootnoteReference"/>
        </w:rPr>
        <w:footnoteRef/>
      </w:r>
      <w:r w:rsidRPr="00E86959">
        <w:t xml:space="preserve"> </w:t>
      </w:r>
      <w:r w:rsidRPr="007C0809">
        <w:rPr>
          <w:highlight w:val="yellow"/>
        </w:rPr>
        <w:t>“</w:t>
      </w:r>
      <w:hyperlink r:id="rId1" w:tgtFrame="_blank" w:history="1">
        <w:r w:rsidRPr="007C0809">
          <w:rPr>
            <w:color w:val="0563C1"/>
            <w:highlight w:val="yellow"/>
            <w:u w:val="single"/>
          </w:rPr>
          <w:t>Title IX notice of non-discrimination for students</w:t>
        </w:r>
      </w:hyperlink>
      <w:r w:rsidRPr="007C0809">
        <w:rPr>
          <w:highlight w:val="yellow"/>
        </w:rPr>
        <w:t>” (2021)</w:t>
      </w:r>
    </w:p>
  </w:footnote>
  <w:footnote w:id="6">
    <w:p w14:paraId="6D76084B" w14:textId="473276C3" w:rsidR="00CE69E1" w:rsidRPr="00E86959" w:rsidRDefault="00CE69E1" w:rsidP="00CE69E1">
      <w:pPr>
        <w:rPr>
          <w:sz w:val="20"/>
          <w:szCs w:val="20"/>
        </w:rPr>
      </w:pPr>
      <w:r w:rsidRPr="007C0809">
        <w:rPr>
          <w:rStyle w:val="FootnoteReference"/>
          <w:sz w:val="20"/>
          <w:szCs w:val="20"/>
          <w:highlight w:val="yellow"/>
        </w:rPr>
        <w:footnoteRef/>
      </w:r>
      <w:r w:rsidRPr="007C0809">
        <w:rPr>
          <w:sz w:val="20"/>
          <w:szCs w:val="20"/>
          <w:highlight w:val="yellow"/>
        </w:rPr>
        <w:t xml:space="preserve"> National Center for Higher Education Risk Management (2013) </w:t>
      </w:r>
      <w:hyperlink r:id="rId2" w:tgtFrame="_blank" w:history="1">
        <w:r w:rsidRPr="007C0809">
          <w:rPr>
            <w:color w:val="0563C1"/>
            <w:sz w:val="20"/>
            <w:szCs w:val="20"/>
            <w:highlight w:val="yellow"/>
            <w:u w:val="single"/>
          </w:rPr>
          <w:t>The top ten things we need to know about Title IX (that the DCL didn’t tell us)</w:t>
        </w:r>
      </w:hyperlink>
    </w:p>
    <w:p w14:paraId="0BE80983" w14:textId="64291C61" w:rsidR="00CE69E1" w:rsidRDefault="00CE69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2744" w14:textId="24B8FE84" w:rsidR="0037078A" w:rsidRDefault="001B16EB">
    <w:pPr>
      <w:pStyle w:val="Header"/>
    </w:pPr>
    <w:r>
      <w:rPr>
        <w:noProof/>
      </w:rPr>
      <w:pict w14:anchorId="783BA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fillcolor="silver" stroked="f">
          <v:textpath style="font-family:&quot;Times New Roman&quot;;font-size:1pt" string="First Rea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3889883D" w:rsidR="0037078A" w:rsidRDefault="001B16EB" w:rsidP="00DF2C31">
    <w:pPr>
      <w:pBdr>
        <w:top w:val="nil"/>
        <w:left w:val="nil"/>
        <w:bottom w:val="nil"/>
        <w:right w:val="nil"/>
        <w:between w:val="nil"/>
      </w:pBdr>
      <w:tabs>
        <w:tab w:val="right" w:pos="9360"/>
      </w:tabs>
      <w:rPr>
        <w:color w:val="0033CC"/>
      </w:rPr>
    </w:pPr>
    <w:r>
      <w:rPr>
        <w:noProof/>
      </w:rPr>
      <w:pict w14:anchorId="0342E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49.9pt;height:109.95pt;rotation:315;z-index:-251657216;mso-wrap-edited:f;mso-width-percent:0;mso-height-percent:0;mso-position-horizontal:center;mso-position-horizontal-relative:margin;mso-position-vertical:center;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fillcolor="silver" stroked="f">
          <v:textpath style="font-family:&quot;Times New Roman&quot;;font-size:1pt" string="First Reading"/>
          <w10:wrap anchorx="margin" anchory="margin"/>
        </v:shape>
      </w:pict>
    </w:r>
    <w:r w:rsidR="0037078A">
      <w:rPr>
        <w:color w:val="000000"/>
      </w:rPr>
      <w:t xml:space="preserve">Page </w:t>
    </w:r>
    <w:r w:rsidR="0037078A">
      <w:rPr>
        <w:color w:val="000000"/>
      </w:rPr>
      <w:fldChar w:fldCharType="begin"/>
    </w:r>
    <w:r w:rsidR="0037078A">
      <w:rPr>
        <w:color w:val="000000"/>
      </w:rPr>
      <w:instrText>PAGE</w:instrText>
    </w:r>
    <w:r w:rsidR="0037078A">
      <w:rPr>
        <w:color w:val="000000"/>
      </w:rPr>
      <w:fldChar w:fldCharType="separate"/>
    </w:r>
    <w:r w:rsidR="0007573E">
      <w:rPr>
        <w:noProof/>
        <w:color w:val="000000"/>
      </w:rPr>
      <w:t>2</w:t>
    </w:r>
    <w:r w:rsidR="0037078A">
      <w:rPr>
        <w:color w:val="000000"/>
      </w:rPr>
      <w:fldChar w:fldCharType="end"/>
    </w:r>
    <w:r w:rsidR="0037078A">
      <w:rPr>
        <w:color w:val="000000"/>
      </w:rPr>
      <w:t xml:space="preserve"> of </w:t>
    </w:r>
    <w:r w:rsidR="0037078A">
      <w:rPr>
        <w:color w:val="000000"/>
      </w:rPr>
      <w:fldChar w:fldCharType="begin"/>
    </w:r>
    <w:r w:rsidR="0037078A">
      <w:rPr>
        <w:color w:val="000000"/>
      </w:rPr>
      <w:instrText>NUMPAGES</w:instrText>
    </w:r>
    <w:r w:rsidR="0037078A">
      <w:rPr>
        <w:color w:val="000000"/>
      </w:rPr>
      <w:fldChar w:fldCharType="separate"/>
    </w:r>
    <w:r w:rsidR="0007573E">
      <w:rPr>
        <w:noProof/>
        <w:color w:val="000000"/>
      </w:rPr>
      <w:t>3</w:t>
    </w:r>
    <w:r w:rsidR="0037078A">
      <w:rPr>
        <w:color w:val="000000"/>
      </w:rPr>
      <w:fldChar w:fldCharType="end"/>
    </w:r>
    <w:r w:rsidR="0037078A">
      <w:rPr>
        <w:color w:val="000000"/>
      </w:rPr>
      <w:tab/>
    </w:r>
  </w:p>
  <w:p w14:paraId="00000027" w14:textId="6E0A1AEC" w:rsidR="0037078A" w:rsidRDefault="0037078A">
    <w:pPr>
      <w:pStyle w:val="Heading1"/>
      <w:tabs>
        <w:tab w:val="right" w:pos="9360"/>
      </w:tabs>
    </w:pPr>
    <w:r>
      <w:rPr>
        <w:b w:val="0"/>
        <w:noProof/>
        <w:sz w:val="24"/>
      </w:rPr>
      <mc:AlternateContent>
        <mc:Choice Requires="wps">
          <w:drawing>
            <wp:anchor distT="0" distB="0" distL="114300" distR="114300" simplePos="0" relativeHeight="251657216" behindDoc="1" locked="0" layoutInCell="0" allowOverlap="1" wp14:anchorId="5C82C13D" wp14:editId="3C7BA232">
              <wp:simplePos x="0" y="0"/>
              <wp:positionH relativeFrom="margin">
                <wp:posOffset>181610</wp:posOffset>
              </wp:positionH>
              <wp:positionV relativeFrom="margin">
                <wp:posOffset>2016125</wp:posOffset>
              </wp:positionV>
              <wp:extent cx="5237480" cy="20208240"/>
              <wp:effectExtent l="0" t="1158875" r="0" b="66103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208240"/>
                      </a:xfrm>
                      <a:prstGeom prst="rect">
                        <a:avLst/>
                      </a:prstGeom>
                    </wps:spPr>
                    <wps:txbx>
                      <w:txbxContent>
                        <w:p w14:paraId="2CB0DE4E" w14:textId="77777777" w:rsidR="0037078A" w:rsidRDefault="0037078A" w:rsidP="005A5D95">
                          <w:pPr>
                            <w:pStyle w:val="NormalWeb"/>
                            <w:spacing w:before="0" w:beforeAutospacing="0" w:after="0" w:afterAutospacing="0"/>
                            <w:jc w:val="center"/>
                          </w:pPr>
                          <w: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82C13D" id="_x0000_t202" coordsize="21600,21600" o:spt="202" path="m,l,21600r21600,l21600,xe">
              <v:stroke joinstyle="miter"/>
              <v:path gradientshapeok="t" o:connecttype="rect"/>
            </v:shapetype>
            <v:shape id="WordArt 4" o:spid="_x0000_s1026" type="#_x0000_t202" style="position:absolute;margin-left:14.3pt;margin-top:158.75pt;width:412.4pt;height:1591.2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" o:allowincell="f" filled="f" stroked="f">
              <o:lock v:ext="edit" shapetype="t"/>
              <v:textbox style="mso-fit-shape-to-text:t">
                <w:txbxContent>
                  <w:p w14:paraId="2CB0DE4E" w14:textId="77777777" w:rsidR="0037078A" w:rsidRDefault="0037078A" w:rsidP="005A5D95">
                    <w:pPr>
                      <w:pStyle w:val="NormalWeb"/>
                      <w:spacing w:before="0" w:beforeAutospacing="0" w:after="0" w:afterAutospacing="0"/>
                      <w:jc w:val="center"/>
                    </w:pPr>
                    <w: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14FFC0B1" w:rsidR="0037078A" w:rsidRDefault="0037078A">
    <w:pPr>
      <w:pStyle w:val="Heading1"/>
      <w:tabs>
        <w:tab w:val="left" w:pos="6840"/>
        <w:tab w:val="right" w:pos="10062"/>
      </w:tabs>
      <w:jc w:val="center"/>
      <w:rPr>
        <w:smallCaps/>
      </w:rPr>
    </w:pPr>
    <w:r>
      <w:rPr>
        <w:smallCaps/>
      </w:rPr>
      <w:t>Academic Senate</w:t>
    </w:r>
  </w:p>
  <w:p w14:paraId="00000021" w14:textId="77777777" w:rsidR="0037078A" w:rsidRDefault="0037078A">
    <w:pPr>
      <w:pStyle w:val="Heading1"/>
      <w:tabs>
        <w:tab w:val="left" w:pos="6840"/>
      </w:tabs>
      <w:jc w:val="center"/>
      <w:rPr>
        <w:smallCaps/>
      </w:rPr>
    </w:pPr>
    <w:r>
      <w:rPr>
        <w:smallCaps/>
      </w:rPr>
      <w:t>of</w:t>
    </w:r>
  </w:p>
  <w:p w14:paraId="6EE67A82" w14:textId="2AFD5A98" w:rsidR="0037078A" w:rsidRDefault="0037078A" w:rsidP="002235CE">
    <w:pPr>
      <w:pStyle w:val="Heading1"/>
      <w:tabs>
        <w:tab w:val="left" w:pos="6840"/>
        <w:tab w:val="right" w:pos="10062"/>
      </w:tabs>
      <w:jc w:val="center"/>
      <w:rPr>
        <w:smallCaps/>
      </w:rPr>
    </w:pPr>
    <w:r>
      <w:rPr>
        <w:smallCaps/>
      </w:rPr>
      <w:t>California State University, Fresno</w:t>
    </w:r>
  </w:p>
  <w:p w14:paraId="26927E2B" w14:textId="77777777" w:rsidR="0037078A" w:rsidRDefault="0037078A" w:rsidP="00C7695D"/>
  <w:p w14:paraId="25ADF6D6" w14:textId="464A1658" w:rsidR="0037078A" w:rsidRPr="00C7695D" w:rsidRDefault="0037078A" w:rsidP="00C7695D">
    <w:r>
      <w:tab/>
    </w:r>
    <w:r>
      <w:tab/>
    </w:r>
    <w:r>
      <w:tab/>
    </w:r>
    <w:r>
      <w:tab/>
    </w:r>
    <w:r>
      <w:tab/>
    </w:r>
    <w:r>
      <w:tab/>
    </w:r>
    <w:r>
      <w:tab/>
    </w:r>
    <w:r>
      <w:tab/>
    </w:r>
    <w:r>
      <w:tab/>
    </w:r>
    <w:r>
      <w:tab/>
      <w:t>First Reading</w:t>
    </w:r>
    <w:r>
      <w:br/>
    </w:r>
    <w:r>
      <w:tab/>
    </w:r>
    <w:r>
      <w:tab/>
    </w:r>
    <w:r>
      <w:tab/>
    </w:r>
    <w:r>
      <w:tab/>
    </w:r>
    <w:r>
      <w:tab/>
    </w:r>
    <w:r>
      <w:tab/>
    </w:r>
    <w:r>
      <w:tab/>
    </w:r>
    <w:r>
      <w:tab/>
    </w:r>
    <w:r>
      <w:tab/>
    </w:r>
    <w:r>
      <w:tab/>
    </w:r>
    <w:r w:rsidR="008A3198">
      <w:t>07 March</w:t>
    </w:r>
    <w:r>
      <w:t xml:space="preserve"> 2022</w:t>
    </w:r>
  </w:p>
  <w:p w14:paraId="00000023" w14:textId="32900B63" w:rsidR="0037078A" w:rsidRDefault="001B16EB">
    <w:pPr>
      <w:pStyle w:val="Heading1"/>
    </w:pPr>
    <w:r>
      <w:rPr>
        <w:noProof/>
      </w:rPr>
      <w:pict w14:anchorId="0FA81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45pt;margin-top:236.2pt;width:549.9pt;height:109.95pt;rotation:315;z-index:-251653120;mso-wrap-edited:f;mso-width-percent:0;mso-height-percent:0;mso-position-horizontal-relative:margin;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fillcolor="silver" stroked="f">
          <v:textpath style="font-family:&quot;Times New Roman&quot;;font-size:1pt" string="First Rea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17B"/>
    <w:multiLevelType w:val="multilevel"/>
    <w:tmpl w:val="D0BC3C56"/>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97D94"/>
    <w:multiLevelType w:val="hybridMultilevel"/>
    <w:tmpl w:val="E93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B2D88"/>
    <w:multiLevelType w:val="hybridMultilevel"/>
    <w:tmpl w:val="C88C4F12"/>
    <w:styleLink w:val="ImportedStyle1"/>
    <w:lvl w:ilvl="0" w:tplc="C26E7A28">
      <w:start w:val="1"/>
      <w:numFmt w:val="decimal"/>
      <w:lvlText w:val="%1."/>
      <w:lvlJc w:val="left"/>
      <w:pPr>
        <w:tabs>
          <w:tab w:val="left" w:pos="720"/>
        </w:tabs>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8AD328">
      <w:start w:val="1"/>
      <w:numFmt w:val="decimal"/>
      <w:lvlText w:val="%2."/>
      <w:lvlJc w:val="left"/>
      <w:pPr>
        <w:tabs>
          <w:tab w:val="left" w:pos="720"/>
        </w:tabs>
        <w:ind w:left="18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0B32A">
      <w:start w:val="1"/>
      <w:numFmt w:val="decimal"/>
      <w:lvlText w:val="%3."/>
      <w:lvlJc w:val="left"/>
      <w:pPr>
        <w:tabs>
          <w:tab w:val="left" w:pos="720"/>
        </w:tabs>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E6262E">
      <w:start w:val="1"/>
      <w:numFmt w:val="decimal"/>
      <w:lvlText w:val="%4."/>
      <w:lvlJc w:val="left"/>
      <w:pPr>
        <w:tabs>
          <w:tab w:val="left" w:pos="720"/>
        </w:tabs>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81BAE">
      <w:start w:val="1"/>
      <w:numFmt w:val="decimal"/>
      <w:lvlText w:val="%5."/>
      <w:lvlJc w:val="left"/>
      <w:pPr>
        <w:tabs>
          <w:tab w:val="left" w:pos="720"/>
        </w:tabs>
        <w:ind w:left="40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AAD3F8">
      <w:start w:val="1"/>
      <w:numFmt w:val="decimal"/>
      <w:lvlText w:val="%6."/>
      <w:lvlJc w:val="left"/>
      <w:pPr>
        <w:tabs>
          <w:tab w:val="left" w:pos="720"/>
        </w:tabs>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880DC">
      <w:start w:val="1"/>
      <w:numFmt w:val="decimal"/>
      <w:lvlText w:val="%7."/>
      <w:lvlJc w:val="left"/>
      <w:pPr>
        <w:tabs>
          <w:tab w:val="left" w:pos="720"/>
        </w:tabs>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D623B2">
      <w:start w:val="1"/>
      <w:numFmt w:val="decimal"/>
      <w:lvlText w:val="%8."/>
      <w:lvlJc w:val="left"/>
      <w:pPr>
        <w:tabs>
          <w:tab w:val="left" w:pos="720"/>
        </w:tabs>
        <w:ind w:left="62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EB3C8">
      <w:start w:val="1"/>
      <w:numFmt w:val="decimal"/>
      <w:lvlText w:val="%9."/>
      <w:lvlJc w:val="left"/>
      <w:pPr>
        <w:tabs>
          <w:tab w:val="left" w:pos="720"/>
        </w:tabs>
        <w:ind w:left="6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AC0515"/>
    <w:multiLevelType w:val="hybridMultilevel"/>
    <w:tmpl w:val="34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E6C9A"/>
    <w:multiLevelType w:val="multilevel"/>
    <w:tmpl w:val="63262552"/>
    <w:lvl w:ilvl="0">
      <w:start w:val="1"/>
      <w:numFmt w:val="decimal"/>
      <w:lvlText w:val="%1."/>
      <w:lvlJc w:val="left"/>
      <w:pPr>
        <w:ind w:left="749" w:hanging="359"/>
      </w:pPr>
      <w:rPr>
        <w:b/>
        <w:sz w:val="24"/>
        <w:szCs w:val="24"/>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8C5080D-5605-494C-97C8-19D956E601EE}"/>
    <w:docVar w:name="dgnword-eventsink" w:val="2338306698608"/>
  </w:docVars>
  <w:rsids>
    <w:rsidRoot w:val="000C6AF4"/>
    <w:rsid w:val="000742C5"/>
    <w:rsid w:val="0007573E"/>
    <w:rsid w:val="00094BF7"/>
    <w:rsid w:val="000C6AF4"/>
    <w:rsid w:val="001307D7"/>
    <w:rsid w:val="00164668"/>
    <w:rsid w:val="001739B3"/>
    <w:rsid w:val="001B16EB"/>
    <w:rsid w:val="001D71BA"/>
    <w:rsid w:val="001E44E9"/>
    <w:rsid w:val="00201EF3"/>
    <w:rsid w:val="002235CE"/>
    <w:rsid w:val="0023125A"/>
    <w:rsid w:val="002D22C1"/>
    <w:rsid w:val="00326351"/>
    <w:rsid w:val="003311A4"/>
    <w:rsid w:val="0037078A"/>
    <w:rsid w:val="00380EF2"/>
    <w:rsid w:val="00382CAF"/>
    <w:rsid w:val="00396BB6"/>
    <w:rsid w:val="004254B4"/>
    <w:rsid w:val="004462E0"/>
    <w:rsid w:val="0045662F"/>
    <w:rsid w:val="004C75B3"/>
    <w:rsid w:val="00525CDA"/>
    <w:rsid w:val="00542F9F"/>
    <w:rsid w:val="00595253"/>
    <w:rsid w:val="005A5D95"/>
    <w:rsid w:val="005E4EAC"/>
    <w:rsid w:val="005E7B45"/>
    <w:rsid w:val="006332FB"/>
    <w:rsid w:val="006774DB"/>
    <w:rsid w:val="006D2431"/>
    <w:rsid w:val="006E4862"/>
    <w:rsid w:val="00723988"/>
    <w:rsid w:val="007C0809"/>
    <w:rsid w:val="00833AE0"/>
    <w:rsid w:val="00846981"/>
    <w:rsid w:val="00862822"/>
    <w:rsid w:val="008A3198"/>
    <w:rsid w:val="008F0F79"/>
    <w:rsid w:val="009C181D"/>
    <w:rsid w:val="009E2076"/>
    <w:rsid w:val="00A27933"/>
    <w:rsid w:val="00A363F7"/>
    <w:rsid w:val="00A902F1"/>
    <w:rsid w:val="00AA37CA"/>
    <w:rsid w:val="00AB51FB"/>
    <w:rsid w:val="00AE6A73"/>
    <w:rsid w:val="00B2432C"/>
    <w:rsid w:val="00BE2714"/>
    <w:rsid w:val="00C41817"/>
    <w:rsid w:val="00C7695D"/>
    <w:rsid w:val="00CA6481"/>
    <w:rsid w:val="00CC5594"/>
    <w:rsid w:val="00CD2927"/>
    <w:rsid w:val="00CE69E1"/>
    <w:rsid w:val="00D6670B"/>
    <w:rsid w:val="00D738F8"/>
    <w:rsid w:val="00DE5C6E"/>
    <w:rsid w:val="00DF001E"/>
    <w:rsid w:val="00DF2C31"/>
    <w:rsid w:val="00E86959"/>
    <w:rsid w:val="00E92FC6"/>
    <w:rsid w:val="00FF3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A6EB5"/>
  <w15:docId w15:val="{1279BA7F-B507-044B-A2EF-C00F519F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C7"/>
  </w:style>
  <w:style w:type="paragraph" w:styleId="Heading1">
    <w:name w:val="heading 1"/>
    <w:basedOn w:val="Normal"/>
    <w:next w:val="Normal"/>
    <w:uiPriority w:val="9"/>
    <w:qFormat/>
    <w:rsid w:val="00F431C7"/>
    <w:pPr>
      <w:keepNext/>
      <w:outlineLvl w:val="0"/>
    </w:pPr>
    <w:rPr>
      <w:b/>
      <w:bCs/>
      <w:sz w:val="28"/>
    </w:rPr>
  </w:style>
  <w:style w:type="paragraph" w:styleId="Heading2">
    <w:name w:val="heading 2"/>
    <w:basedOn w:val="Normal"/>
    <w:next w:val="Normal"/>
    <w:uiPriority w:val="9"/>
    <w:semiHidden/>
    <w:unhideWhenUsed/>
    <w:qFormat/>
    <w:rsid w:val="00F431C7"/>
    <w:pPr>
      <w:keepNext/>
      <w:tabs>
        <w:tab w:val="right" w:pos="8640"/>
      </w:tabs>
      <w:outlineLvl w:val="1"/>
    </w:pPr>
    <w:rPr>
      <w:b/>
      <w:bCs/>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F431C7"/>
    <w:pPr>
      <w:spacing w:after="240"/>
    </w:pPr>
    <w:rPr>
      <w:rFonts w:ascii="Garamond" w:hAnsi="Garamond"/>
      <w:sz w:val="22"/>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link w:val="HeaderChar"/>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unhideWhenUsed/>
    <w:rsid w:val="00603794"/>
    <w:pPr>
      <w:spacing w:before="100" w:beforeAutospacing="1" w:after="100" w:afterAutospacing="1"/>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235CE"/>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semiHidden/>
    <w:rsid w:val="002235CE"/>
    <w:rPr>
      <w:rFonts w:eastAsia="Arial Unicode MS"/>
      <w:sz w:val="20"/>
      <w:szCs w:val="20"/>
      <w:bdr w:val="nil"/>
    </w:rPr>
  </w:style>
  <w:style w:type="character" w:styleId="FootnoteReference">
    <w:name w:val="footnote reference"/>
    <w:basedOn w:val="DefaultParagraphFont"/>
    <w:uiPriority w:val="99"/>
    <w:semiHidden/>
    <w:unhideWhenUsed/>
    <w:rsid w:val="002235CE"/>
    <w:rPr>
      <w:vertAlign w:val="superscript"/>
    </w:rPr>
  </w:style>
  <w:style w:type="paragraph" w:customStyle="1" w:styleId="Body">
    <w:name w:val="Body"/>
    <w:rsid w:val="002235CE"/>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6332FB"/>
    <w:pPr>
      <w:numPr>
        <w:numId w:val="3"/>
      </w:numPr>
    </w:pPr>
  </w:style>
  <w:style w:type="character" w:customStyle="1" w:styleId="UnresolvedMention1">
    <w:name w:val="Unresolved Mention1"/>
    <w:basedOn w:val="DefaultParagraphFont"/>
    <w:uiPriority w:val="99"/>
    <w:semiHidden/>
    <w:unhideWhenUsed/>
    <w:rsid w:val="00CC5594"/>
    <w:rPr>
      <w:color w:val="605E5C"/>
      <w:shd w:val="clear" w:color="auto" w:fill="E1DFDD"/>
    </w:rPr>
  </w:style>
  <w:style w:type="paragraph" w:styleId="BalloonText">
    <w:name w:val="Balloon Text"/>
    <w:basedOn w:val="Normal"/>
    <w:link w:val="BalloonTextChar"/>
    <w:uiPriority w:val="99"/>
    <w:semiHidden/>
    <w:unhideWhenUsed/>
    <w:rsid w:val="00AE6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73"/>
    <w:rPr>
      <w:rFonts w:ascii="Lucida Grande" w:hAnsi="Lucida Grande" w:cs="Lucida Grande"/>
      <w:sz w:val="18"/>
      <w:szCs w:val="18"/>
    </w:rPr>
  </w:style>
  <w:style w:type="character" w:styleId="UnresolvedMention">
    <w:name w:val="Unresolved Mention"/>
    <w:basedOn w:val="DefaultParagraphFont"/>
    <w:uiPriority w:val="99"/>
    <w:semiHidden/>
    <w:unhideWhenUsed/>
    <w:rsid w:val="00BE2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052">
      <w:bodyDiv w:val="1"/>
      <w:marLeft w:val="0"/>
      <w:marRight w:val="0"/>
      <w:marTop w:val="0"/>
      <w:marBottom w:val="0"/>
      <w:divBdr>
        <w:top w:val="none" w:sz="0" w:space="0" w:color="auto"/>
        <w:left w:val="none" w:sz="0" w:space="0" w:color="auto"/>
        <w:bottom w:val="none" w:sz="0" w:space="0" w:color="auto"/>
        <w:right w:val="none" w:sz="0" w:space="0" w:color="auto"/>
      </w:divBdr>
      <w:divsChild>
        <w:div w:id="651713616">
          <w:marLeft w:val="0"/>
          <w:marRight w:val="0"/>
          <w:marTop w:val="0"/>
          <w:marBottom w:val="0"/>
          <w:divBdr>
            <w:top w:val="none" w:sz="0" w:space="0" w:color="auto"/>
            <w:left w:val="none" w:sz="0" w:space="0" w:color="auto"/>
            <w:bottom w:val="none" w:sz="0" w:space="0" w:color="auto"/>
            <w:right w:val="none" w:sz="0" w:space="0" w:color="auto"/>
          </w:divBdr>
          <w:divsChild>
            <w:div w:id="1561134431">
              <w:marLeft w:val="0"/>
              <w:marRight w:val="0"/>
              <w:marTop w:val="0"/>
              <w:marBottom w:val="0"/>
              <w:divBdr>
                <w:top w:val="none" w:sz="0" w:space="0" w:color="auto"/>
                <w:left w:val="none" w:sz="0" w:space="0" w:color="auto"/>
                <w:bottom w:val="none" w:sz="0" w:space="0" w:color="auto"/>
                <w:right w:val="none" w:sz="0" w:space="0" w:color="auto"/>
              </w:divBdr>
              <w:divsChild>
                <w:div w:id="1374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9167">
      <w:bodyDiv w:val="1"/>
      <w:marLeft w:val="0"/>
      <w:marRight w:val="0"/>
      <w:marTop w:val="0"/>
      <w:marBottom w:val="0"/>
      <w:divBdr>
        <w:top w:val="none" w:sz="0" w:space="0" w:color="auto"/>
        <w:left w:val="none" w:sz="0" w:space="0" w:color="auto"/>
        <w:bottom w:val="none" w:sz="0" w:space="0" w:color="auto"/>
        <w:right w:val="none" w:sz="0" w:space="0" w:color="auto"/>
      </w:divBdr>
      <w:divsChild>
        <w:div w:id="1084061375">
          <w:marLeft w:val="0"/>
          <w:marRight w:val="0"/>
          <w:marTop w:val="0"/>
          <w:marBottom w:val="0"/>
          <w:divBdr>
            <w:top w:val="none" w:sz="0" w:space="0" w:color="auto"/>
            <w:left w:val="none" w:sz="0" w:space="0" w:color="auto"/>
            <w:bottom w:val="none" w:sz="0" w:space="0" w:color="auto"/>
            <w:right w:val="none" w:sz="0" w:space="0" w:color="auto"/>
          </w:divBdr>
          <w:divsChild>
            <w:div w:id="1769738693">
              <w:marLeft w:val="0"/>
              <w:marRight w:val="0"/>
              <w:marTop w:val="0"/>
              <w:marBottom w:val="0"/>
              <w:divBdr>
                <w:top w:val="none" w:sz="0" w:space="0" w:color="auto"/>
                <w:left w:val="none" w:sz="0" w:space="0" w:color="auto"/>
                <w:bottom w:val="none" w:sz="0" w:space="0" w:color="auto"/>
                <w:right w:val="none" w:sz="0" w:space="0" w:color="auto"/>
              </w:divBdr>
              <w:divsChild>
                <w:div w:id="15305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8229">
      <w:bodyDiv w:val="1"/>
      <w:marLeft w:val="0"/>
      <w:marRight w:val="0"/>
      <w:marTop w:val="0"/>
      <w:marBottom w:val="0"/>
      <w:divBdr>
        <w:top w:val="none" w:sz="0" w:space="0" w:color="auto"/>
        <w:left w:val="none" w:sz="0" w:space="0" w:color="auto"/>
        <w:bottom w:val="none" w:sz="0" w:space="0" w:color="auto"/>
        <w:right w:val="none" w:sz="0" w:space="0" w:color="auto"/>
      </w:divBdr>
      <w:divsChild>
        <w:div w:id="1268074886">
          <w:marLeft w:val="0"/>
          <w:marRight w:val="0"/>
          <w:marTop w:val="0"/>
          <w:marBottom w:val="0"/>
          <w:divBdr>
            <w:top w:val="none" w:sz="0" w:space="0" w:color="auto"/>
            <w:left w:val="none" w:sz="0" w:space="0" w:color="auto"/>
            <w:bottom w:val="none" w:sz="0" w:space="0" w:color="auto"/>
            <w:right w:val="none" w:sz="0" w:space="0" w:color="auto"/>
          </w:divBdr>
          <w:divsChild>
            <w:div w:id="2019116229">
              <w:marLeft w:val="0"/>
              <w:marRight w:val="0"/>
              <w:marTop w:val="0"/>
              <w:marBottom w:val="0"/>
              <w:divBdr>
                <w:top w:val="none" w:sz="0" w:space="0" w:color="auto"/>
                <w:left w:val="none" w:sz="0" w:space="0" w:color="auto"/>
                <w:bottom w:val="none" w:sz="0" w:space="0" w:color="auto"/>
                <w:right w:val="none" w:sz="0" w:space="0" w:color="auto"/>
              </w:divBdr>
              <w:divsChild>
                <w:div w:id="867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dminfinance.fresnostate.edu/hr/documents/CSUTitleIXNoticeofNon-Discrimination7-12-2012b.pdf" TargetMode="External"/><Relationship Id="rId4" Type="http://schemas.openxmlformats.org/officeDocument/2006/relationships/styles" Target="styles.xml"/><Relationship Id="rId9" Type="http://schemas.openxmlformats.org/officeDocument/2006/relationships/hyperlink" Target="https://calstate.policystat.com/policy/10926024/lates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higherlogicdownload.s3.amazonaws.com/URMIA/9bb778ba-2379-4027-b70a-d7c1dfa28128/UploadedImages/documents/URMIAJournal_2013.pdf" TargetMode="External"/><Relationship Id="rId1" Type="http://schemas.openxmlformats.org/officeDocument/2006/relationships/hyperlink" Target="https://adminfinance.fresnostate.edu/hr/documents/CSUTitleIXNoticeofNon-Discrimination7-12-2012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Ju76QgfDe+e2zycueytRj/xZIpA==">AMUW2mV+/ObZbaXrv5hgpPHGlCnqJWf5g04VLAZmf0IbFtKZnd0eXm3Z/CcNf5vpIJSAHLTiugIrpzPdnv9WPx7kt9HL8ZqK3JUVPRXpvDfi4lHufW3AGT0=</go:docsCustomData>
</go:gDocsCustomXmlDataStorage>
</file>

<file path=customXml/itemProps1.xml><?xml version="1.0" encoding="utf-8"?>
<ds:datastoreItem xmlns:ds="http://schemas.openxmlformats.org/officeDocument/2006/customXml" ds:itemID="{75595A80-8451-2646-B119-0FA797DF483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Anagnoson</dc:creator>
  <cp:lastModifiedBy>Michael Jenkins</cp:lastModifiedBy>
  <cp:revision>20</cp:revision>
  <dcterms:created xsi:type="dcterms:W3CDTF">2022-02-14T23:43:00Z</dcterms:created>
  <dcterms:modified xsi:type="dcterms:W3CDTF">2022-03-04T19:46:00Z</dcterms:modified>
</cp:coreProperties>
</file>