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40" w:rsidRPr="00D7146E" w:rsidRDefault="00AD7DFE" w:rsidP="009374EA">
      <w:pPr>
        <w:contextualSpacing/>
        <w:rPr>
          <w:rFonts w:ascii="Bookman Old Style" w:hAnsi="Bookman Old Style"/>
        </w:rPr>
      </w:pPr>
      <w:r>
        <w:rPr>
          <w:rFonts w:ascii="Bookman Old Style" w:hAnsi="Bookman Old Style"/>
        </w:rPr>
        <w:t>March</w:t>
      </w:r>
      <w:r w:rsidR="00740D12">
        <w:rPr>
          <w:rFonts w:ascii="Bookman Old Style" w:hAnsi="Bookman Old Style"/>
        </w:rPr>
        <w:t xml:space="preserve"> </w:t>
      </w:r>
      <w:r>
        <w:rPr>
          <w:rFonts w:ascii="Bookman Old Style" w:hAnsi="Bookman Old Style"/>
        </w:rPr>
        <w:t>11</w:t>
      </w:r>
      <w:r w:rsidR="00ED4190">
        <w:rPr>
          <w:rFonts w:ascii="Bookman Old Style" w:hAnsi="Bookman Old Style"/>
        </w:rPr>
        <w:t>, 2015</w:t>
      </w:r>
    </w:p>
    <w:p w:rsidR="003F0240" w:rsidRPr="00D7146E" w:rsidRDefault="003F0240" w:rsidP="003F0240">
      <w:pPr>
        <w:contextualSpacing/>
        <w:rPr>
          <w:rFonts w:ascii="Bookman Old Style" w:hAnsi="Bookman Old Style"/>
        </w:rPr>
      </w:pPr>
    </w:p>
    <w:p w:rsidR="003F0240" w:rsidRPr="00D7146E" w:rsidRDefault="003F0240" w:rsidP="001A0731">
      <w:pPr>
        <w:ind w:left="1440" w:hanging="1440"/>
        <w:contextualSpacing/>
        <w:rPr>
          <w:rFonts w:ascii="Bookman Old Style" w:hAnsi="Bookman Old Style"/>
        </w:rPr>
      </w:pPr>
      <w:r w:rsidRPr="00D7146E">
        <w:rPr>
          <w:rFonts w:ascii="Bookman Old Style" w:hAnsi="Bookman Old Style"/>
        </w:rPr>
        <w:t xml:space="preserve">Present: </w:t>
      </w:r>
      <w:r w:rsidRPr="00D7146E">
        <w:rPr>
          <w:rFonts w:ascii="Bookman Old Style" w:hAnsi="Bookman Old Style"/>
        </w:rPr>
        <w:tab/>
      </w:r>
      <w:r w:rsidR="009374EA" w:rsidRPr="00D7146E">
        <w:rPr>
          <w:rFonts w:ascii="Bookman Old Style" w:hAnsi="Bookman Old Style"/>
        </w:rPr>
        <w:t xml:space="preserve">B. Berrett, </w:t>
      </w:r>
      <w:r w:rsidR="009374EA">
        <w:rPr>
          <w:rFonts w:ascii="Bookman Old Style" w:hAnsi="Bookman Old Style"/>
        </w:rPr>
        <w:t>D. Nef,</w:t>
      </w:r>
      <w:r w:rsidR="009374EA" w:rsidRPr="00D7146E">
        <w:rPr>
          <w:rFonts w:ascii="Bookman Old Style" w:hAnsi="Bookman Old Style"/>
        </w:rPr>
        <w:t xml:space="preserve"> </w:t>
      </w:r>
      <w:r w:rsidRPr="00D7146E">
        <w:rPr>
          <w:rFonts w:ascii="Bookman Old Style" w:hAnsi="Bookman Old Style"/>
        </w:rPr>
        <w:t xml:space="preserve">R. Maldonado (Chair), J. Parks, </w:t>
      </w:r>
      <w:r w:rsidR="009967D1" w:rsidRPr="00D7146E">
        <w:rPr>
          <w:rFonts w:ascii="Bookman Old Style" w:hAnsi="Bookman Old Style"/>
        </w:rPr>
        <w:t>A. Quinteros</w:t>
      </w:r>
    </w:p>
    <w:p w:rsidR="003F0240" w:rsidRPr="00D7146E" w:rsidRDefault="003F0240" w:rsidP="003F0240">
      <w:pPr>
        <w:ind w:left="1440" w:hanging="1440"/>
        <w:contextualSpacing/>
        <w:rPr>
          <w:rFonts w:ascii="Bookman Old Style" w:hAnsi="Bookman Old Style"/>
        </w:rPr>
      </w:pPr>
    </w:p>
    <w:p w:rsidR="003F0240" w:rsidRPr="00D7146E" w:rsidRDefault="003F0240" w:rsidP="009374EA">
      <w:pPr>
        <w:contextualSpacing/>
        <w:rPr>
          <w:rFonts w:ascii="Bookman Old Style" w:hAnsi="Bookman Old Style"/>
        </w:rPr>
      </w:pPr>
      <w:r w:rsidRPr="00D7146E">
        <w:rPr>
          <w:rFonts w:ascii="Bookman Old Style" w:hAnsi="Bookman Old Style"/>
        </w:rPr>
        <w:t xml:space="preserve">Excused: </w:t>
      </w:r>
      <w:r w:rsidRPr="00D7146E">
        <w:rPr>
          <w:rFonts w:ascii="Bookman Old Style" w:hAnsi="Bookman Old Style"/>
        </w:rPr>
        <w:tab/>
      </w:r>
      <w:r w:rsidR="009967D1" w:rsidRPr="00D7146E">
        <w:rPr>
          <w:rFonts w:ascii="Bookman Old Style" w:hAnsi="Bookman Old Style"/>
        </w:rPr>
        <w:t>A. Levi,</w:t>
      </w:r>
      <w:r w:rsidR="009967D1" w:rsidRPr="009967D1">
        <w:rPr>
          <w:rFonts w:ascii="Bookman Old Style" w:hAnsi="Bookman Old Style"/>
        </w:rPr>
        <w:t xml:space="preserve"> </w:t>
      </w:r>
      <w:r w:rsidR="009967D1" w:rsidRPr="00D7146E">
        <w:rPr>
          <w:rFonts w:ascii="Bookman Old Style" w:hAnsi="Bookman Old Style"/>
        </w:rPr>
        <w:t>J. Schmidtke</w:t>
      </w:r>
    </w:p>
    <w:p w:rsidR="003F0240" w:rsidRPr="00D7146E" w:rsidRDefault="003F0240" w:rsidP="003F0240">
      <w:pPr>
        <w:contextualSpacing/>
        <w:rPr>
          <w:rFonts w:ascii="Bookman Old Style" w:hAnsi="Bookman Old Style"/>
        </w:rPr>
      </w:pPr>
    </w:p>
    <w:p w:rsidR="003F0240" w:rsidRPr="00D7146E" w:rsidRDefault="003F0240" w:rsidP="00740D12">
      <w:pPr>
        <w:contextualSpacing/>
        <w:rPr>
          <w:rFonts w:ascii="Bookman Old Style" w:hAnsi="Bookman Old Style"/>
        </w:rPr>
      </w:pPr>
      <w:r w:rsidRPr="00D7146E">
        <w:rPr>
          <w:rFonts w:ascii="Bookman Old Style" w:hAnsi="Bookman Old Style"/>
        </w:rPr>
        <w:t xml:space="preserve">Absent: </w:t>
      </w:r>
      <w:r w:rsidRPr="00D7146E">
        <w:rPr>
          <w:rFonts w:ascii="Bookman Old Style" w:hAnsi="Bookman Old Style"/>
        </w:rPr>
        <w:tab/>
      </w:r>
    </w:p>
    <w:p w:rsidR="003F0240" w:rsidRPr="00D7146E" w:rsidRDefault="003F0240" w:rsidP="003F0240">
      <w:pPr>
        <w:contextualSpacing/>
        <w:rPr>
          <w:rFonts w:ascii="Bookman Old Style" w:hAnsi="Bookman Old Style"/>
        </w:rPr>
      </w:pPr>
    </w:p>
    <w:p w:rsidR="003F0240" w:rsidRPr="00D7146E" w:rsidRDefault="003F0240" w:rsidP="00740D12">
      <w:pPr>
        <w:ind w:left="1440" w:hanging="1440"/>
        <w:contextualSpacing/>
        <w:rPr>
          <w:rFonts w:ascii="Bookman Old Style" w:hAnsi="Bookman Old Style"/>
        </w:rPr>
      </w:pPr>
      <w:r w:rsidRPr="00D7146E">
        <w:rPr>
          <w:rFonts w:ascii="Bookman Old Style" w:hAnsi="Bookman Old Style"/>
        </w:rPr>
        <w:t xml:space="preserve">Guests: </w:t>
      </w:r>
      <w:r w:rsidRPr="00D7146E">
        <w:rPr>
          <w:rFonts w:ascii="Bookman Old Style" w:hAnsi="Bookman Old Style"/>
        </w:rPr>
        <w:tab/>
        <w:t xml:space="preserve"> </w:t>
      </w:r>
    </w:p>
    <w:p w:rsidR="003F0240" w:rsidRPr="00D7146E" w:rsidRDefault="003F0240" w:rsidP="003F0240">
      <w:pPr>
        <w:ind w:left="1440" w:hanging="1440"/>
        <w:contextualSpacing/>
        <w:rPr>
          <w:rFonts w:ascii="Bookman Old Style" w:hAnsi="Bookman Old Style"/>
        </w:rPr>
      </w:pPr>
    </w:p>
    <w:p w:rsidR="003F0240" w:rsidRPr="00D7146E" w:rsidRDefault="009967D1" w:rsidP="003F0240">
      <w:pPr>
        <w:contextualSpacing/>
        <w:rPr>
          <w:rFonts w:ascii="Bookman Old Style" w:hAnsi="Bookman Old Style"/>
        </w:rPr>
      </w:pPr>
      <w:r>
        <w:rPr>
          <w:rFonts w:ascii="Bookman Old Style" w:hAnsi="Bookman Old Style"/>
        </w:rPr>
        <w:t>Called to order 3:34</w:t>
      </w:r>
      <w:r w:rsidR="003F0240" w:rsidRPr="00D7146E">
        <w:rPr>
          <w:rFonts w:ascii="Bookman Old Style" w:hAnsi="Bookman Old Style"/>
        </w:rPr>
        <w:t xml:space="preserve"> pm Thomas Administration Room 117</w:t>
      </w:r>
    </w:p>
    <w:p w:rsidR="003F0240" w:rsidRPr="00D7146E" w:rsidRDefault="003F0240" w:rsidP="003F0240">
      <w:pPr>
        <w:ind w:left="720"/>
        <w:rPr>
          <w:rFonts w:ascii="Bookman Old Style" w:hAnsi="Bookman Old Style"/>
        </w:rPr>
      </w:pPr>
    </w:p>
    <w:p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Agenda</w:t>
      </w:r>
    </w:p>
    <w:p w:rsidR="003F0240" w:rsidRPr="00D7146E" w:rsidRDefault="003F0240" w:rsidP="003F0240">
      <w:pPr>
        <w:contextualSpacing/>
        <w:rPr>
          <w:rFonts w:ascii="Bookman Old Style" w:hAnsi="Bookman Old Style"/>
        </w:rPr>
      </w:pPr>
    </w:p>
    <w:p w:rsidR="003F0240" w:rsidRPr="00D7146E" w:rsidRDefault="003F0240" w:rsidP="009374EA">
      <w:pPr>
        <w:ind w:left="720"/>
        <w:contextualSpacing/>
        <w:rPr>
          <w:rFonts w:ascii="Bookman Old Style" w:hAnsi="Bookman Old Style"/>
        </w:rPr>
      </w:pPr>
      <w:r w:rsidRPr="00D7146E">
        <w:rPr>
          <w:rFonts w:ascii="Bookman Old Style" w:hAnsi="Bookman Old Style"/>
        </w:rPr>
        <w:t xml:space="preserve">MSC </w:t>
      </w:r>
      <w:r w:rsidR="00740D12">
        <w:rPr>
          <w:rFonts w:ascii="Bookman Old Style" w:hAnsi="Bookman Old Style"/>
        </w:rPr>
        <w:t xml:space="preserve">the approval of the agenda of </w:t>
      </w:r>
      <w:r w:rsidR="009967D1">
        <w:rPr>
          <w:rFonts w:ascii="Bookman Old Style" w:hAnsi="Bookman Old Style"/>
        </w:rPr>
        <w:t>11</w:t>
      </w:r>
      <w:r w:rsidRPr="00D7146E">
        <w:rPr>
          <w:rFonts w:ascii="Bookman Old Style" w:hAnsi="Bookman Old Style"/>
        </w:rPr>
        <w:t xml:space="preserve"> </w:t>
      </w:r>
      <w:r w:rsidR="009967D1">
        <w:rPr>
          <w:rFonts w:ascii="Bookman Old Style" w:hAnsi="Bookman Old Style"/>
        </w:rPr>
        <w:t>Mar</w:t>
      </w:r>
      <w:r w:rsidR="00740D12">
        <w:rPr>
          <w:rFonts w:ascii="Bookman Old Style" w:hAnsi="Bookman Old Style"/>
        </w:rPr>
        <w:t xml:space="preserve"> 201</w:t>
      </w:r>
      <w:r w:rsidR="00ED4190">
        <w:rPr>
          <w:rFonts w:ascii="Bookman Old Style" w:hAnsi="Bookman Old Style"/>
        </w:rPr>
        <w:t>5</w:t>
      </w:r>
      <w:r w:rsidRPr="00D7146E">
        <w:rPr>
          <w:rFonts w:ascii="Bookman Old Style" w:hAnsi="Bookman Old Style"/>
        </w:rPr>
        <w:t>.</w:t>
      </w:r>
    </w:p>
    <w:p w:rsidR="003F0240" w:rsidRPr="00D7146E" w:rsidRDefault="003F0240" w:rsidP="003F0240">
      <w:pPr>
        <w:contextualSpacing/>
        <w:rPr>
          <w:rFonts w:ascii="Bookman Old Style" w:hAnsi="Bookman Old Style"/>
        </w:rPr>
      </w:pPr>
    </w:p>
    <w:p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 xml:space="preserve">Minutes </w:t>
      </w:r>
    </w:p>
    <w:p w:rsidR="003F0240" w:rsidRPr="00D7146E" w:rsidRDefault="003F0240" w:rsidP="003F0240">
      <w:pPr>
        <w:pStyle w:val="ListParagraph"/>
        <w:rPr>
          <w:rFonts w:ascii="Bookman Old Style" w:hAnsi="Bookman Old Style"/>
        </w:rPr>
      </w:pPr>
    </w:p>
    <w:p w:rsidR="003F0240" w:rsidRPr="00D7146E" w:rsidRDefault="003F0240" w:rsidP="009374EA">
      <w:pPr>
        <w:rPr>
          <w:rFonts w:ascii="Bookman Old Style" w:hAnsi="Bookman Old Style"/>
        </w:rPr>
      </w:pPr>
      <w:r w:rsidRPr="00D7146E">
        <w:rPr>
          <w:rFonts w:ascii="Bookman Old Style" w:hAnsi="Bookman Old Style"/>
        </w:rPr>
        <w:tab/>
        <w:t xml:space="preserve">MSC the minutes for </w:t>
      </w:r>
      <w:r w:rsidR="009967D1">
        <w:rPr>
          <w:rFonts w:ascii="Bookman Old Style" w:hAnsi="Bookman Old Style"/>
        </w:rPr>
        <w:t>25</w:t>
      </w:r>
      <w:r w:rsidR="00D937C6">
        <w:rPr>
          <w:rFonts w:ascii="Bookman Old Style" w:hAnsi="Bookman Old Style"/>
        </w:rPr>
        <w:t xml:space="preserve"> </w:t>
      </w:r>
      <w:r w:rsidR="00ED4190">
        <w:rPr>
          <w:rFonts w:ascii="Bookman Old Style" w:hAnsi="Bookman Old Style"/>
        </w:rPr>
        <w:t>Feb 2015</w:t>
      </w:r>
      <w:r w:rsidRPr="00D7146E">
        <w:rPr>
          <w:rFonts w:ascii="Bookman Old Style" w:hAnsi="Bookman Old Style"/>
        </w:rPr>
        <w:br/>
      </w:r>
    </w:p>
    <w:p w:rsidR="009374EA" w:rsidRDefault="003F0240" w:rsidP="009374EA">
      <w:pPr>
        <w:pStyle w:val="ListParagraph"/>
        <w:numPr>
          <w:ilvl w:val="0"/>
          <w:numId w:val="1"/>
        </w:numPr>
        <w:ind w:left="720" w:hanging="720"/>
        <w:rPr>
          <w:rFonts w:ascii="Bookman Old Style" w:hAnsi="Bookman Old Style"/>
        </w:rPr>
      </w:pPr>
      <w:r w:rsidRPr="00D7146E">
        <w:rPr>
          <w:rFonts w:ascii="Bookman Old Style" w:hAnsi="Bookman Old Style"/>
        </w:rPr>
        <w:t>Co</w:t>
      </w:r>
      <w:r w:rsidR="009374EA">
        <w:rPr>
          <w:rFonts w:ascii="Bookman Old Style" w:hAnsi="Bookman Old Style"/>
        </w:rPr>
        <w:t>mmunications and Announcements</w:t>
      </w:r>
    </w:p>
    <w:p w:rsidR="009374EA" w:rsidRDefault="009374EA" w:rsidP="009374EA">
      <w:pPr>
        <w:pStyle w:val="ListParagraph"/>
        <w:rPr>
          <w:rFonts w:ascii="Bookman Old Style" w:hAnsi="Bookman Old Style"/>
        </w:rPr>
      </w:pPr>
    </w:p>
    <w:p w:rsidR="009374EA" w:rsidRDefault="009967D1" w:rsidP="009374EA">
      <w:pPr>
        <w:pStyle w:val="ListParagraph"/>
        <w:numPr>
          <w:ilvl w:val="1"/>
          <w:numId w:val="1"/>
        </w:numPr>
        <w:ind w:left="1080"/>
        <w:rPr>
          <w:rFonts w:ascii="Bookman Old Style" w:hAnsi="Bookman Old Style"/>
        </w:rPr>
      </w:pPr>
      <w:r>
        <w:rPr>
          <w:rFonts w:ascii="Bookman Old Style" w:hAnsi="Bookman Old Style"/>
        </w:rPr>
        <w:t>Chair Maldonado reported meeting with Provost Zelezny and Vice Provost Nef to review the Level B budget model and budget issues in general. The Provost emphasized in moving forward the need to maintain transparency.  Discussion also included moving toward 70% tenure density.</w:t>
      </w:r>
    </w:p>
    <w:p w:rsidR="009374EA" w:rsidRDefault="009967D1" w:rsidP="009374EA">
      <w:pPr>
        <w:pStyle w:val="ListParagraph"/>
        <w:numPr>
          <w:ilvl w:val="1"/>
          <w:numId w:val="1"/>
        </w:numPr>
        <w:ind w:left="1080"/>
        <w:rPr>
          <w:rFonts w:ascii="Bookman Old Style" w:hAnsi="Bookman Old Style"/>
        </w:rPr>
      </w:pPr>
      <w:r>
        <w:rPr>
          <w:rFonts w:ascii="Bookman Old Style" w:hAnsi="Bookman Old Style"/>
        </w:rPr>
        <w:t>GTA tuition waiver recommendation to formulate a policy passed the Senate.   A committee has been formed to address the recommendation which includes the Chair of UBC.  Whatever happens with financial consequences will be included in the budget model.</w:t>
      </w:r>
    </w:p>
    <w:p w:rsidR="009374EA" w:rsidRDefault="009967D1" w:rsidP="00D16AAB">
      <w:pPr>
        <w:pStyle w:val="ListParagraph"/>
        <w:numPr>
          <w:ilvl w:val="1"/>
          <w:numId w:val="1"/>
        </w:numPr>
        <w:ind w:left="1080"/>
        <w:rPr>
          <w:rFonts w:ascii="Bookman Old Style" w:hAnsi="Bookman Old Style"/>
        </w:rPr>
      </w:pPr>
      <w:r>
        <w:rPr>
          <w:rFonts w:ascii="Bookman Old Style" w:hAnsi="Bookman Old Style"/>
        </w:rPr>
        <w:t>A. Quintero asked about CSUF’s participation in the Governor’s money saving incentive program.  D. Nef shared that we have moved ahead with an application based on work in DiscoverE.</w:t>
      </w:r>
    </w:p>
    <w:p w:rsidR="00842012" w:rsidRDefault="00842012" w:rsidP="00D16AAB">
      <w:pPr>
        <w:pStyle w:val="ListParagraph"/>
        <w:numPr>
          <w:ilvl w:val="1"/>
          <w:numId w:val="1"/>
        </w:numPr>
        <w:ind w:left="1080"/>
        <w:rPr>
          <w:rFonts w:ascii="Bookman Old Style" w:hAnsi="Bookman Old Style"/>
        </w:rPr>
      </w:pPr>
      <w:r>
        <w:rPr>
          <w:rFonts w:ascii="Bookman Old Style" w:hAnsi="Bookman Old Style"/>
        </w:rPr>
        <w:t xml:space="preserve">R. Maldonado reported that the material submitted for review for the proposal for Web-Based Certificate of Advanced Study in Community and Regional Planning did not include any budget analysis.  He will communicate with the Division of Graduate Studies and forward their analysis when it arrives.  The meeting expected for next week will be postponed pending that receipt.  </w:t>
      </w:r>
    </w:p>
    <w:p w:rsidR="003C7BBD" w:rsidRDefault="003C7BBD" w:rsidP="003C7BBD">
      <w:pPr>
        <w:pStyle w:val="ListParagraph"/>
        <w:rPr>
          <w:rFonts w:ascii="Bookman Old Style" w:hAnsi="Bookman Old Style"/>
        </w:rPr>
      </w:pPr>
      <w:r>
        <w:rPr>
          <w:rFonts w:ascii="Bookman Old Style" w:hAnsi="Bookman Old Style"/>
        </w:rPr>
        <w:lastRenderedPageBreak/>
        <w:t xml:space="preserve"> </w:t>
      </w:r>
    </w:p>
    <w:p w:rsidR="009374EA" w:rsidRDefault="00445B21" w:rsidP="009374EA">
      <w:pPr>
        <w:pStyle w:val="ListParagraph"/>
        <w:numPr>
          <w:ilvl w:val="0"/>
          <w:numId w:val="1"/>
        </w:numPr>
        <w:rPr>
          <w:rFonts w:ascii="Bookman Old Style" w:hAnsi="Bookman Old Style"/>
        </w:rPr>
      </w:pPr>
      <w:r w:rsidRPr="00445B21">
        <w:rPr>
          <w:rFonts w:ascii="Bookman Old Style" w:hAnsi="Bookman Old Style"/>
        </w:rPr>
        <w:t>Continuation of the Budget Model discussion</w:t>
      </w:r>
    </w:p>
    <w:p w:rsidR="00F51C50" w:rsidRDefault="00F51C50" w:rsidP="00F51C50">
      <w:pPr>
        <w:pStyle w:val="ListParagraph"/>
        <w:ind w:left="360"/>
        <w:rPr>
          <w:rFonts w:ascii="Bookman Old Style" w:hAnsi="Bookman Old Style"/>
        </w:rPr>
      </w:pPr>
    </w:p>
    <w:p w:rsidR="00E42C7A" w:rsidRDefault="009967D1" w:rsidP="00E42C7A">
      <w:pPr>
        <w:pStyle w:val="ListParagraph"/>
        <w:numPr>
          <w:ilvl w:val="1"/>
          <w:numId w:val="1"/>
        </w:numPr>
        <w:ind w:left="1080" w:hanging="720"/>
        <w:rPr>
          <w:rFonts w:ascii="Bookman Old Style" w:hAnsi="Bookman Old Style"/>
        </w:rPr>
      </w:pPr>
      <w:r>
        <w:rPr>
          <w:rFonts w:ascii="Bookman Old Style" w:hAnsi="Bookman Old Style"/>
        </w:rPr>
        <w:t>Tenure Track Density.</w:t>
      </w:r>
    </w:p>
    <w:p w:rsidR="00E42C7A" w:rsidRDefault="009967D1" w:rsidP="00E42C7A">
      <w:pPr>
        <w:pStyle w:val="ListParagraph"/>
        <w:ind w:left="1080"/>
        <w:rPr>
          <w:rFonts w:ascii="Bookman Old Style" w:hAnsi="Bookman Old Style"/>
        </w:rPr>
      </w:pPr>
      <w:r>
        <w:rPr>
          <w:rFonts w:ascii="Bookman Old Style" w:hAnsi="Bookman Old Style"/>
        </w:rPr>
        <w:br/>
      </w:r>
      <w:r w:rsidR="00384EDD">
        <w:rPr>
          <w:rFonts w:ascii="Bookman Old Style" w:hAnsi="Bookman Old Style"/>
        </w:rPr>
        <w:t>D</w:t>
      </w:r>
      <w:r w:rsidR="00E42C7A">
        <w:rPr>
          <w:rFonts w:ascii="Bookman Old Style" w:hAnsi="Bookman Old Style"/>
        </w:rPr>
        <w:t>.</w:t>
      </w:r>
      <w:r w:rsidR="00384EDD">
        <w:rPr>
          <w:rFonts w:ascii="Bookman Old Style" w:hAnsi="Bookman Old Style"/>
        </w:rPr>
        <w:t xml:space="preserve"> Nef shared and walked through a preliminary draft of a model to move to 70% tenure density over the next ten years.  </w:t>
      </w:r>
      <w:r w:rsidR="00DB10C5">
        <w:rPr>
          <w:rFonts w:ascii="Bookman Old Style" w:hAnsi="Bookman Old Style"/>
        </w:rPr>
        <w:t>He emphasized the problem of how to make appropriate assumptions and projections.</w:t>
      </w:r>
    </w:p>
    <w:p w:rsidR="00E42C7A" w:rsidRDefault="00DB10C5" w:rsidP="00E42C7A">
      <w:pPr>
        <w:pStyle w:val="ListParagraph"/>
        <w:ind w:left="1080"/>
        <w:rPr>
          <w:rFonts w:ascii="Bookman Old Style" w:hAnsi="Bookman Old Style"/>
        </w:rPr>
      </w:pPr>
      <w:r>
        <w:rPr>
          <w:rFonts w:ascii="Bookman Old Style" w:hAnsi="Bookman Old Style"/>
        </w:rPr>
        <w:br/>
        <w:t xml:space="preserve">Issues </w:t>
      </w:r>
      <w:proofErr w:type="gramStart"/>
      <w:r>
        <w:rPr>
          <w:rFonts w:ascii="Bookman Old Style" w:hAnsi="Bookman Old Style"/>
        </w:rPr>
        <w:t>raised</w:t>
      </w:r>
      <w:proofErr w:type="gramEnd"/>
      <w:r>
        <w:rPr>
          <w:rFonts w:ascii="Bookman Old Style" w:hAnsi="Bookman Old Style"/>
        </w:rPr>
        <w:t xml:space="preserve">: </w:t>
      </w:r>
      <w:r>
        <w:rPr>
          <w:rFonts w:ascii="Bookman Old Style" w:hAnsi="Bookman Old Style"/>
        </w:rPr>
        <w:br/>
        <w:t xml:space="preserve">How does the growth rate correlate to the amounts of increase?  </w:t>
      </w:r>
      <w:r w:rsidR="00842012">
        <w:rPr>
          <w:rFonts w:ascii="Bookman Old Style" w:hAnsi="Bookman Old Style"/>
        </w:rPr>
        <w:br/>
      </w:r>
      <w:r>
        <w:rPr>
          <w:rFonts w:ascii="Bookman Old Style" w:hAnsi="Bookman Old Style"/>
        </w:rPr>
        <w:t xml:space="preserve">What is the actual TT workload?  The range seems to be likely 10-12WTUs, but the effect has consequences for the bottom line amounts.  </w:t>
      </w:r>
    </w:p>
    <w:p w:rsidR="00E42C7A" w:rsidRDefault="00842012" w:rsidP="00E42C7A">
      <w:pPr>
        <w:pStyle w:val="ListParagraph"/>
        <w:ind w:left="1080"/>
        <w:rPr>
          <w:rFonts w:ascii="Bookman Old Style" w:hAnsi="Bookman Old Style"/>
        </w:rPr>
      </w:pPr>
      <w:r>
        <w:rPr>
          <w:rFonts w:ascii="Bookman Old Style" w:hAnsi="Bookman Old Style"/>
        </w:rPr>
        <w:br/>
      </w:r>
      <w:r w:rsidR="00DB10C5">
        <w:rPr>
          <w:rFonts w:ascii="Bookman Old Style" w:hAnsi="Bookman Old Style"/>
        </w:rPr>
        <w:t xml:space="preserve">Is there a way to calculate the differential in benefits between PT and TT replacement?  </w:t>
      </w:r>
    </w:p>
    <w:p w:rsidR="00E42C7A" w:rsidRDefault="00842012" w:rsidP="00E42C7A">
      <w:pPr>
        <w:pStyle w:val="ListParagraph"/>
        <w:ind w:left="1080"/>
        <w:rPr>
          <w:rFonts w:ascii="Bookman Old Style" w:hAnsi="Bookman Old Style"/>
        </w:rPr>
      </w:pPr>
      <w:r>
        <w:rPr>
          <w:rFonts w:ascii="Bookman Old Style" w:hAnsi="Bookman Old Style"/>
        </w:rPr>
        <w:br/>
      </w:r>
      <w:r w:rsidR="00DB10C5">
        <w:rPr>
          <w:rFonts w:ascii="Bookman Old Style" w:hAnsi="Bookman Old Style"/>
        </w:rPr>
        <w:t>Different colleges have different practices in providing release time to new faculty (above the MOU required ¼ release for two years).  That also must be included in the model</w:t>
      </w:r>
      <w:r>
        <w:rPr>
          <w:rFonts w:ascii="Bookman Old Style" w:hAnsi="Bookman Old Style"/>
        </w:rPr>
        <w:t>.</w:t>
      </w:r>
    </w:p>
    <w:p w:rsidR="009967D1" w:rsidRDefault="00DB10C5" w:rsidP="00E42C7A">
      <w:pPr>
        <w:pStyle w:val="ListParagraph"/>
        <w:ind w:left="1080"/>
        <w:rPr>
          <w:rFonts w:ascii="Bookman Old Style" w:hAnsi="Bookman Old Style"/>
        </w:rPr>
      </w:pPr>
      <w:r>
        <w:rPr>
          <w:rFonts w:ascii="Bookman Old Style" w:hAnsi="Bookman Old Style"/>
        </w:rPr>
        <w:br/>
        <w:t>What are the personnel (salary) costs within Academic Affairs and per school/college?</w:t>
      </w:r>
    </w:p>
    <w:p w:rsidR="00E42C7A" w:rsidRPr="009967D1" w:rsidRDefault="00E42C7A" w:rsidP="00E42C7A">
      <w:pPr>
        <w:pStyle w:val="ListParagraph"/>
        <w:ind w:left="1080"/>
        <w:rPr>
          <w:rFonts w:ascii="Bookman Old Style" w:hAnsi="Bookman Old Style"/>
        </w:rPr>
      </w:pPr>
    </w:p>
    <w:p w:rsidR="001A0731" w:rsidRPr="00DB10C5" w:rsidRDefault="009967D1" w:rsidP="00E42C7A">
      <w:pPr>
        <w:pStyle w:val="ListParagraph"/>
        <w:numPr>
          <w:ilvl w:val="1"/>
          <w:numId w:val="1"/>
        </w:numPr>
        <w:ind w:left="1080" w:hanging="720"/>
        <w:rPr>
          <w:rFonts w:ascii="Bookman Old Style" w:hAnsi="Bookman Old Style"/>
        </w:rPr>
      </w:pPr>
      <w:r w:rsidRPr="009374EA">
        <w:rPr>
          <w:rFonts w:ascii="Bookman Old Style" w:hAnsi="Bookman Old Style"/>
        </w:rPr>
        <w:t>C1 premium</w:t>
      </w:r>
      <w:r w:rsidR="00DB10C5">
        <w:rPr>
          <w:rFonts w:ascii="Bookman Old Style" w:hAnsi="Bookman Old Style"/>
        </w:rPr>
        <w:br/>
        <w:t>Discussion focused on the challenge to calculate a premium on a course classification that does not have a specific class size.  Discussion revealed differences between colleges on administering C1 courses.</w:t>
      </w:r>
    </w:p>
    <w:p w:rsidR="00445B21" w:rsidRPr="00445B21" w:rsidRDefault="00445B21" w:rsidP="00445B21">
      <w:pPr>
        <w:pStyle w:val="ListParagraph"/>
        <w:ind w:left="360" w:firstLine="360"/>
        <w:rPr>
          <w:rFonts w:ascii="Bookman Old Style" w:hAnsi="Bookman Old Style"/>
        </w:rPr>
      </w:pPr>
    </w:p>
    <w:p w:rsidR="003C7BBD" w:rsidRDefault="003C7BBD" w:rsidP="00ED4190">
      <w:pPr>
        <w:rPr>
          <w:rFonts w:ascii="Bookman Old Style" w:hAnsi="Bookman Old Style"/>
        </w:rPr>
      </w:pPr>
      <w:bookmarkStart w:id="0" w:name="_GoBack"/>
      <w:bookmarkEnd w:id="0"/>
    </w:p>
    <w:p w:rsidR="003C7BBD" w:rsidRDefault="00445B21" w:rsidP="001A0731">
      <w:pPr>
        <w:rPr>
          <w:rFonts w:ascii="Bookman Old Style" w:hAnsi="Bookman Old Style"/>
        </w:rPr>
      </w:pPr>
      <w:r>
        <w:rPr>
          <w:rFonts w:ascii="Bookman Old Style" w:hAnsi="Bookman Old Style"/>
        </w:rPr>
        <w:t xml:space="preserve">Meeting adjourned </w:t>
      </w:r>
      <w:r w:rsidR="00842012">
        <w:rPr>
          <w:rFonts w:ascii="Bookman Old Style" w:hAnsi="Bookman Old Style"/>
        </w:rPr>
        <w:t>4:58</w:t>
      </w:r>
      <w:r>
        <w:rPr>
          <w:rFonts w:ascii="Bookman Old Style" w:hAnsi="Bookman Old Style"/>
        </w:rPr>
        <w:t>pm</w:t>
      </w:r>
    </w:p>
    <w:p w:rsidR="003F0240" w:rsidRDefault="003F0240" w:rsidP="003F0240">
      <w:pPr>
        <w:rPr>
          <w:rFonts w:ascii="Bookman Old Style" w:hAnsi="Bookman Old Style"/>
        </w:rPr>
      </w:pPr>
    </w:p>
    <w:p w:rsidR="003F0240" w:rsidRDefault="003F0240" w:rsidP="001A0731">
      <w:pPr>
        <w:rPr>
          <w:rFonts w:ascii="Bookman Old Style" w:hAnsi="Bookman Old Style"/>
        </w:rPr>
      </w:pPr>
      <w:r>
        <w:rPr>
          <w:rFonts w:ascii="Bookman Old Style" w:hAnsi="Bookman Old Style"/>
        </w:rPr>
        <w:t xml:space="preserve">Agenda </w:t>
      </w:r>
      <w:r w:rsidR="00A5011F">
        <w:rPr>
          <w:rFonts w:ascii="Bookman Old Style" w:hAnsi="Bookman Old Style"/>
        </w:rPr>
        <w:t>11</w:t>
      </w:r>
      <w:r w:rsidR="001A0731">
        <w:rPr>
          <w:rFonts w:ascii="Bookman Old Style" w:hAnsi="Bookman Old Style"/>
        </w:rPr>
        <w:t xml:space="preserve"> Mar</w:t>
      </w:r>
      <w:r>
        <w:rPr>
          <w:rFonts w:ascii="Bookman Old Style" w:hAnsi="Bookman Old Style"/>
        </w:rPr>
        <w:t xml:space="preserve"> 2015</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Approval of agenda.</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 xml:space="preserve">Approval of minutes of </w:t>
      </w:r>
      <w:r w:rsidR="00842012" w:rsidRPr="00842012">
        <w:rPr>
          <w:rFonts w:ascii="Bookman Old Style" w:hAnsi="Bookman Old Style"/>
        </w:rPr>
        <w:t>11</w:t>
      </w:r>
      <w:r w:rsidR="00D937C6" w:rsidRPr="00842012">
        <w:rPr>
          <w:rFonts w:ascii="Bookman Old Style" w:hAnsi="Bookman Old Style"/>
        </w:rPr>
        <w:t xml:space="preserve"> Feb 2015</w:t>
      </w:r>
      <w:r w:rsidRPr="00842012">
        <w:rPr>
          <w:rFonts w:ascii="Bookman Old Style" w:hAnsi="Bookman Old Style"/>
        </w:rPr>
        <w:t>.</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Communications and Announcements.</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 xml:space="preserve">New Business </w:t>
      </w:r>
    </w:p>
    <w:p w:rsidR="00842012" w:rsidRPr="00842012" w:rsidRDefault="00842012" w:rsidP="00842012">
      <w:pPr>
        <w:pStyle w:val="ListParagraph"/>
        <w:numPr>
          <w:ilvl w:val="0"/>
          <w:numId w:val="14"/>
        </w:numPr>
        <w:rPr>
          <w:rFonts w:ascii="Bookman Old Style" w:hAnsi="Bookman Old Style"/>
        </w:rPr>
      </w:pPr>
      <w:r w:rsidRPr="00842012">
        <w:rPr>
          <w:rFonts w:ascii="Bookman Old Style" w:hAnsi="Bookman Old Style"/>
        </w:rPr>
        <w:t>Tenure density data review</w:t>
      </w:r>
    </w:p>
    <w:p w:rsidR="00842012" w:rsidRDefault="00842012" w:rsidP="00842012">
      <w:pPr>
        <w:pStyle w:val="ListParagraph"/>
        <w:numPr>
          <w:ilvl w:val="0"/>
          <w:numId w:val="14"/>
        </w:numPr>
        <w:rPr>
          <w:rFonts w:ascii="Bookman Old Style" w:hAnsi="Bookman Old Style"/>
        </w:rPr>
      </w:pPr>
      <w:r w:rsidRPr="00842012">
        <w:rPr>
          <w:rFonts w:ascii="Bookman Old Style" w:hAnsi="Bookman Old Style"/>
        </w:rPr>
        <w:t>C1 premium</w:t>
      </w:r>
    </w:p>
    <w:p w:rsidR="006B29F4" w:rsidRPr="00E42C7A" w:rsidRDefault="00842012" w:rsidP="003F0240">
      <w:pPr>
        <w:pStyle w:val="ListParagraph"/>
        <w:numPr>
          <w:ilvl w:val="0"/>
          <w:numId w:val="14"/>
        </w:numPr>
        <w:rPr>
          <w:rFonts w:ascii="Bookman Old Style" w:hAnsi="Bookman Old Style"/>
        </w:rPr>
      </w:pPr>
      <w:r>
        <w:rPr>
          <w:rFonts w:ascii="Bookman Old Style" w:hAnsi="Bookman Old Style"/>
        </w:rPr>
        <w:t>Proposal for Web-Based Certificate of Advanced Study in Community and Regional Planning</w:t>
      </w:r>
    </w:p>
    <w:sectPr w:rsidR="006B29F4" w:rsidRPr="00E42C7A" w:rsidSect="009374EA">
      <w:headerReference w:type="default" r:id="rId9"/>
      <w:headerReference w:type="first" r:id="rId10"/>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62" w:rsidRDefault="00C35962" w:rsidP="00340A20">
      <w:r>
        <w:separator/>
      </w:r>
    </w:p>
  </w:endnote>
  <w:endnote w:type="continuationSeparator" w:id="0">
    <w:p w:rsidR="00C35962" w:rsidRDefault="00C35962"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62" w:rsidRDefault="00C35962" w:rsidP="00340A20">
      <w:r>
        <w:separator/>
      </w:r>
    </w:p>
  </w:footnote>
  <w:footnote w:type="continuationSeparator" w:id="0">
    <w:p w:rsidR="00C35962" w:rsidRDefault="00C35962"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rsidR="00AD7DFE" w:rsidRDefault="00AD7DFE" w:rsidP="00340A20">
    <w:pPr>
      <w:pStyle w:val="ListParagraph"/>
      <w:ind w:left="1080"/>
      <w:jc w:val="right"/>
      <w:rPr>
        <w:rFonts w:ascii="Bookman Old Style" w:hAnsi="Bookman Old Style"/>
      </w:rPr>
    </w:pPr>
    <w:r>
      <w:rPr>
        <w:rFonts w:ascii="Bookman Old Style" w:hAnsi="Bookman Old Style"/>
      </w:rPr>
      <w:t>March 11, 2015</w:t>
    </w:r>
  </w:p>
  <w:p w:rsidR="00340A20" w:rsidRDefault="00340A20" w:rsidP="00340A20">
    <w:pPr>
      <w:pStyle w:val="ListParagraph"/>
      <w:ind w:left="1080"/>
      <w:jc w:val="right"/>
      <w:rPr>
        <w:rFonts w:ascii="Bookman Old Style" w:hAnsi="Bookman Old Style"/>
      </w:rPr>
    </w:pPr>
    <w:r>
      <w:rPr>
        <w:rFonts w:ascii="Bookman Old Style" w:hAnsi="Bookman Old Style"/>
      </w:rPr>
      <w:t>Page 2</w:t>
    </w:r>
  </w:p>
  <w:p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3">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EC7C06"/>
    <w:multiLevelType w:val="hybridMultilevel"/>
    <w:tmpl w:val="7F40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9"/>
  </w:num>
  <w:num w:numId="7">
    <w:abstractNumId w:val="2"/>
  </w:num>
  <w:num w:numId="8">
    <w:abstractNumId w:val="3"/>
  </w:num>
  <w:num w:numId="9">
    <w:abstractNumId w:val="13"/>
  </w:num>
  <w:num w:numId="10">
    <w:abstractNumId w:val="4"/>
  </w:num>
  <w:num w:numId="11">
    <w:abstractNumId w:val="6"/>
  </w:num>
  <w:num w:numId="12">
    <w:abstractNumId w:val="7"/>
  </w:num>
  <w:num w:numId="13">
    <w:abstractNumId w:val="8"/>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6DBD5E-E505-4B7C-874E-A72A91D07BF0}"/>
    <w:docVar w:name="dgnword-eventsink" w:val="159652696"/>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7CCF"/>
    <w:rsid w:val="003F0240"/>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7C2"/>
    <w:rsid w:val="00696B2F"/>
    <w:rsid w:val="006A25FE"/>
    <w:rsid w:val="006A261D"/>
    <w:rsid w:val="006A4B5B"/>
    <w:rsid w:val="006A4FFD"/>
    <w:rsid w:val="006A66AD"/>
    <w:rsid w:val="006A761B"/>
    <w:rsid w:val="006A7CA4"/>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40D12"/>
    <w:rsid w:val="00752187"/>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11F"/>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D7DFE"/>
    <w:rsid w:val="00AE427D"/>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7BEB"/>
    <w:rsid w:val="00DA2417"/>
    <w:rsid w:val="00DA2FFA"/>
    <w:rsid w:val="00DA3936"/>
    <w:rsid w:val="00DA4168"/>
    <w:rsid w:val="00DA45A0"/>
    <w:rsid w:val="00DA545F"/>
    <w:rsid w:val="00DA75FF"/>
    <w:rsid w:val="00DA7687"/>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2C7A"/>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1C50"/>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F605-A738-457B-8642-4DC60937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5</cp:revision>
  <cp:lastPrinted>2014-09-03T19:22:00Z</cp:lastPrinted>
  <dcterms:created xsi:type="dcterms:W3CDTF">2015-03-24T20:29:00Z</dcterms:created>
  <dcterms:modified xsi:type="dcterms:W3CDTF">2015-05-27T22:16:00Z</dcterms:modified>
</cp:coreProperties>
</file>