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E7" w:rsidRDefault="00923CE7">
      <w:pPr>
        <w:rPr>
          <w:rFonts w:ascii="Times New Roman" w:eastAsia="Times New Roman" w:hAnsi="Times New Roman"/>
          <w:sz w:val="24"/>
          <w:szCs w:val="24"/>
        </w:rPr>
      </w:pPr>
    </w:p>
    <w:tbl>
      <w:tblPr>
        <w:tblStyle w:val="a"/>
        <w:tblW w:w="9314" w:type="dxa"/>
        <w:jc w:val="center"/>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923CE7">
        <w:trPr>
          <w:jc w:val="center"/>
        </w:trPr>
        <w:tc>
          <w:tcPr>
            <w:tcW w:w="9314" w:type="dxa"/>
            <w:shd w:val="clear" w:color="auto" w:fill="DBE5F1"/>
          </w:tcPr>
          <w:p w:rsidR="00923CE7" w:rsidRDefault="00616656">
            <w:pPr>
              <w:jc w:val="center"/>
              <w:rPr>
                <w:rFonts w:ascii="Times New Roman" w:eastAsia="Times New Roman" w:hAnsi="Times New Roman"/>
                <w:b/>
                <w:sz w:val="24"/>
                <w:szCs w:val="24"/>
              </w:rPr>
            </w:pPr>
            <w:r>
              <w:rPr>
                <w:rFonts w:ascii="Times New Roman" w:eastAsia="Times New Roman" w:hAnsi="Times New Roman"/>
                <w:b/>
                <w:sz w:val="24"/>
                <w:szCs w:val="24"/>
              </w:rPr>
              <w:t>California State University, Fresno</w:t>
            </w:r>
          </w:p>
          <w:p w:rsidR="00923CE7" w:rsidRDefault="00616656">
            <w:pPr>
              <w:jc w:val="center"/>
              <w:rPr>
                <w:rFonts w:ascii="Times New Roman" w:eastAsia="Times New Roman" w:hAnsi="Times New Roman"/>
                <w:b/>
                <w:sz w:val="24"/>
                <w:szCs w:val="24"/>
              </w:rPr>
            </w:pPr>
            <w:r>
              <w:rPr>
                <w:rFonts w:ascii="Times New Roman" w:eastAsia="Times New Roman" w:hAnsi="Times New Roman"/>
                <w:b/>
                <w:sz w:val="24"/>
                <w:szCs w:val="24"/>
              </w:rPr>
              <w:t>College of Social Sciences</w:t>
            </w:r>
          </w:p>
          <w:p w:rsidR="00923CE7" w:rsidRDefault="00616656">
            <w:pPr>
              <w:jc w:val="center"/>
              <w:rPr>
                <w:rFonts w:ascii="Times New Roman" w:eastAsia="Times New Roman" w:hAnsi="Times New Roman"/>
                <w:b/>
                <w:sz w:val="24"/>
                <w:szCs w:val="24"/>
              </w:rPr>
            </w:pPr>
            <w:r>
              <w:rPr>
                <w:rFonts w:ascii="Times New Roman" w:eastAsia="Times New Roman" w:hAnsi="Times New Roman"/>
                <w:b/>
                <w:sz w:val="24"/>
                <w:szCs w:val="24"/>
              </w:rPr>
              <w:t>Forensic Behavioral Sciences B.S.</w:t>
            </w:r>
          </w:p>
          <w:p w:rsidR="00923CE7" w:rsidRDefault="00616656">
            <w:pPr>
              <w:jc w:val="center"/>
              <w:rPr>
                <w:rFonts w:ascii="Times New Roman" w:eastAsia="Times New Roman" w:hAnsi="Times New Roman"/>
                <w:b/>
                <w:sz w:val="24"/>
                <w:szCs w:val="24"/>
              </w:rPr>
            </w:pPr>
            <w:r>
              <w:rPr>
                <w:rFonts w:ascii="Times New Roman" w:eastAsia="Times New Roman" w:hAnsi="Times New Roman"/>
                <w:b/>
                <w:sz w:val="24"/>
                <w:szCs w:val="24"/>
              </w:rPr>
              <w:t>Department/Program Assessme</w:t>
            </w:r>
            <w:r w:rsidR="00E8567E">
              <w:rPr>
                <w:rFonts w:ascii="Times New Roman" w:eastAsia="Times New Roman" w:hAnsi="Times New Roman"/>
                <w:b/>
                <w:sz w:val="24"/>
                <w:szCs w:val="24"/>
              </w:rPr>
              <w:t>nt Coordinator: Allen Azizian</w:t>
            </w:r>
            <w:bookmarkStart w:id="0" w:name="_GoBack"/>
            <w:bookmarkEnd w:id="0"/>
          </w:p>
        </w:tc>
      </w:tr>
      <w:tr w:rsidR="00923CE7">
        <w:trPr>
          <w:jc w:val="center"/>
        </w:trPr>
        <w:tc>
          <w:tcPr>
            <w:tcW w:w="9314" w:type="dxa"/>
            <w:shd w:val="clear" w:color="auto" w:fill="244061"/>
          </w:tcPr>
          <w:p w:rsidR="00923CE7" w:rsidRDefault="00616656">
            <w:pPr>
              <w:rPr>
                <w:rFonts w:ascii="Times New Roman" w:eastAsia="Times New Roman" w:hAnsi="Times New Roman"/>
                <w:b/>
                <w:sz w:val="24"/>
                <w:szCs w:val="24"/>
              </w:rPr>
            </w:pPr>
            <w:r>
              <w:rPr>
                <w:rFonts w:ascii="Times New Roman" w:eastAsia="Times New Roman" w:hAnsi="Times New Roman"/>
                <w:b/>
                <w:sz w:val="24"/>
                <w:szCs w:val="24"/>
              </w:rPr>
              <w:t>Student Outcomes Assessment Plan (SOAP)</w:t>
            </w:r>
          </w:p>
        </w:tc>
      </w:tr>
      <w:tr w:rsidR="00923CE7">
        <w:trPr>
          <w:jc w:val="center"/>
        </w:trPr>
        <w:tc>
          <w:tcPr>
            <w:tcW w:w="9314" w:type="dxa"/>
            <w:shd w:val="clear" w:color="auto" w:fill="DBE5F1"/>
          </w:tcPr>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tc>
      </w:tr>
      <w:tr w:rsidR="00923CE7">
        <w:trPr>
          <w:trHeight w:val="713"/>
          <w:jc w:val="center"/>
        </w:trPr>
        <w:tc>
          <w:tcPr>
            <w:tcW w:w="9314"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The general mission of the Department of Criminology at California State University, Fresno, is to offer high-quality educational opportunities to qualified students at the bachelor’s degree level. The Department of Criminology’s mission statement for undergraduate education includes: 1) offering quality academic programs, 2) promoting and enhancing the teaching and learning experience of students and faculty, 3) preparing students for entry into criminal justice system agencies, and 4) preparing students for graduate education. The mission </w:t>
            </w:r>
            <w:proofErr w:type="gramStart"/>
            <w:r>
              <w:rPr>
                <w:rFonts w:ascii="Times New Roman" w:eastAsia="Times New Roman" w:hAnsi="Times New Roman"/>
                <w:sz w:val="24"/>
                <w:szCs w:val="24"/>
              </w:rPr>
              <w:t>will be accomplished</w:t>
            </w:r>
            <w:proofErr w:type="gramEnd"/>
            <w:r>
              <w:rPr>
                <w:rFonts w:ascii="Times New Roman" w:eastAsia="Times New Roman" w:hAnsi="Times New Roman"/>
                <w:sz w:val="24"/>
                <w:szCs w:val="24"/>
              </w:rPr>
              <w:t xml:space="preserve"> in an environment of mutual respect and support among students, faculty, and staff. The Department of Criminology’s undergraduate mission will complement the Department’s overall mission and the mission of the College of Social Sciences and California State University, Fresno.</w:t>
            </w:r>
          </w:p>
        </w:tc>
      </w:tr>
    </w:tbl>
    <w:p w:rsidR="00923CE7" w:rsidRDefault="00923CE7">
      <w:pPr>
        <w:rPr>
          <w:rFonts w:ascii="Times New Roman" w:eastAsia="Times New Roman" w:hAnsi="Times New Roman"/>
          <w:sz w:val="24"/>
          <w:szCs w:val="24"/>
        </w:rPr>
      </w:pPr>
    </w:p>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Learning Outcomes, Program Learning Outcomes/Goals, and SLO’s </w:t>
      </w:r>
    </w:p>
    <w:p w:rsidR="00923CE7" w:rsidRDefault="00616656">
      <w:pPr>
        <w:numPr>
          <w:ilvl w:val="1"/>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Institutional Learning Outcomes.</w:t>
      </w:r>
      <w:r>
        <w:rPr>
          <w:rFonts w:ascii="Times New Roman" w:eastAsia="Times New Roman" w:hAnsi="Times New Roman"/>
          <w:color w:val="000000"/>
          <w:sz w:val="24"/>
          <w:szCs w:val="24"/>
        </w:rPr>
        <w:t xml:space="preserve"> Fresno State ILO’s are posted on the following webpage: </w:t>
      </w:r>
      <w:hyperlink r:id="rId8">
        <w:r>
          <w:rPr>
            <w:rFonts w:ascii="Times New Roman" w:eastAsia="Times New Roman" w:hAnsi="Times New Roman"/>
            <w:color w:val="0000FF"/>
            <w:sz w:val="24"/>
            <w:szCs w:val="24"/>
            <w:u w:val="single"/>
          </w:rPr>
          <w:t>http://fresnostate.edu/academics/oie/assessment/fresno-state-assessment.html</w:t>
        </w:r>
      </w:hyperlink>
      <w:r>
        <w:rPr>
          <w:rFonts w:ascii="Times New Roman" w:eastAsia="Times New Roman" w:hAnsi="Times New Roman"/>
          <w:color w:val="0000FF"/>
          <w:sz w:val="24"/>
          <w:szCs w:val="24"/>
        </w:rPr>
        <w:t xml:space="preserve"> </w:t>
      </w: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Developing a foundational, broad and integrative knowledge</w:t>
      </w:r>
      <w:r>
        <w:rPr>
          <w:rFonts w:ascii="Times New Roman" w:eastAsia="Times New Roman" w:hAnsi="Times New Roman"/>
          <w:color w:val="000000"/>
          <w:sz w:val="24"/>
          <w:szCs w:val="24"/>
        </w:rPr>
        <w:t xml:space="preserve"> of the social sciences</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and their integration with </w:t>
      </w:r>
      <w:r>
        <w:rPr>
          <w:rFonts w:ascii="Times New Roman" w:eastAsia="Times New Roman" w:hAnsi="Times New Roman"/>
          <w:sz w:val="24"/>
          <w:szCs w:val="24"/>
        </w:rPr>
        <w:t>the</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forensic behavioral sciences</w:t>
      </w:r>
      <w:r>
        <w:rPr>
          <w:rFonts w:ascii="Times New Roman" w:eastAsia="Times New Roman" w:hAnsi="Times New Roman"/>
          <w:color w:val="000000"/>
          <w:sz w:val="24"/>
          <w:szCs w:val="24"/>
        </w:rPr>
        <w:t xml:space="preserve">.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w:t>
      </w:r>
      <w:proofErr w:type="spellStart"/>
      <w:r>
        <w:rPr>
          <w:rFonts w:ascii="Times New Roman" w:eastAsia="Times New Roman" w:hAnsi="Times New Roman"/>
          <w:color w:val="000000"/>
          <w:sz w:val="24"/>
          <w:szCs w:val="24"/>
        </w:rPr>
        <w:t>interdisciplinarity</w:t>
      </w:r>
      <w:proofErr w:type="spellEnd"/>
      <w:r>
        <w:rPr>
          <w:rFonts w:ascii="Times New Roman" w:eastAsia="Times New Roman" w:hAnsi="Times New Roman"/>
          <w:color w:val="000000"/>
          <w:sz w:val="24"/>
          <w:szCs w:val="24"/>
        </w:rPr>
        <w:t xml:space="preserve"> is fundamental, graduate students will further draw from the perspectives of other domains of inquiry/practice </w:t>
      </w:r>
      <w:proofErr w:type="gramStart"/>
      <w:r>
        <w:rPr>
          <w:rFonts w:ascii="Times New Roman" w:eastAsia="Times New Roman" w:hAnsi="Times New Roman"/>
          <w:color w:val="000000"/>
          <w:sz w:val="24"/>
          <w:szCs w:val="24"/>
        </w:rPr>
        <w:t>so as to</w:t>
      </w:r>
      <w:proofErr w:type="gramEnd"/>
      <w:r>
        <w:rPr>
          <w:rFonts w:ascii="Times New Roman" w:eastAsia="Times New Roman" w:hAnsi="Times New Roman"/>
          <w:color w:val="000000"/>
          <w:sz w:val="24"/>
          <w:szCs w:val="24"/>
        </w:rPr>
        <w:t xml:space="preserve"> assess a problem better and offer solutions to it.</w:t>
      </w:r>
    </w:p>
    <w:p w:rsidR="00923CE7" w:rsidRDefault="00923CE7">
      <w:pPr>
        <w:pBdr>
          <w:top w:val="nil"/>
          <w:left w:val="nil"/>
          <w:bottom w:val="nil"/>
          <w:right w:val="nil"/>
          <w:between w:val="nil"/>
        </w:pBdr>
        <w:spacing w:after="0"/>
        <w:ind w:left="1080"/>
        <w:rPr>
          <w:rFonts w:ascii="Times New Roman" w:eastAsia="Times New Roman" w:hAnsi="Times New Roman"/>
          <w:color w:val="000000"/>
          <w:sz w:val="24"/>
          <w:szCs w:val="24"/>
          <w:highlight w:val="yellow"/>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Acquiring specialized knowledge</w:t>
      </w:r>
      <w:r>
        <w:rPr>
          <w:rFonts w:ascii="Times New Roman" w:eastAsia="Times New Roman" w:hAnsi="Times New Roman"/>
          <w:color w:val="000000"/>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w:t>
      </w:r>
      <w:r>
        <w:rPr>
          <w:rFonts w:ascii="Times New Roman" w:eastAsia="Times New Roman" w:hAnsi="Times New Roman"/>
          <w:color w:val="000000"/>
          <w:sz w:val="24"/>
          <w:szCs w:val="24"/>
        </w:rPr>
        <w:lastRenderedPageBreak/>
        <w:t>to inquiry. They will also show the ability to assess major contributions to the field, as well as expand on those contributions through empirical research or aesthetic exploration.</w:t>
      </w:r>
    </w:p>
    <w:p w:rsidR="00923CE7" w:rsidRDefault="00923CE7">
      <w:pPr>
        <w:pBdr>
          <w:top w:val="nil"/>
          <w:left w:val="nil"/>
          <w:bottom w:val="nil"/>
          <w:right w:val="nil"/>
          <w:between w:val="nil"/>
        </w:pBdr>
        <w:spacing w:after="0"/>
        <w:ind w:left="72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Improving intellectual skills</w:t>
      </w:r>
      <w:r>
        <w:rPr>
          <w:rFonts w:ascii="Times New Roman" w:eastAsia="Times New Roman" w:hAnsi="Times New Roman"/>
          <w:color w:val="000000"/>
          <w:sz w:val="24"/>
          <w:szCs w:val="24"/>
        </w:rPr>
        <w:t xml:space="preserve"> including critical thinking, effective oral and written communication, information literacy and quantitative reasoning.</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rsidR="00923CE7" w:rsidRDefault="00923CE7">
      <w:pPr>
        <w:pBdr>
          <w:top w:val="nil"/>
          <w:left w:val="nil"/>
          <w:bottom w:val="nil"/>
          <w:right w:val="nil"/>
          <w:between w:val="nil"/>
        </w:pBdr>
        <w:spacing w:after="0"/>
        <w:ind w:left="720"/>
        <w:rPr>
          <w:rFonts w:ascii="Times New Roman" w:eastAsia="Times New Roman" w:hAnsi="Times New Roman"/>
          <w:color w:val="000000"/>
          <w:sz w:val="24"/>
          <w:szCs w:val="24"/>
          <w:highlight w:val="yellow"/>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Applying knowledge</w:t>
      </w:r>
      <w:r>
        <w:rPr>
          <w:rFonts w:ascii="Times New Roman" w:eastAsia="Times New Roman" w:hAnsi="Times New Roman"/>
          <w:color w:val="000000"/>
          <w:sz w:val="24"/>
          <w:szCs w:val="24"/>
        </w:rPr>
        <w:t xml:space="preserve"> 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rsidR="00923CE7" w:rsidRDefault="00923CE7">
      <w:pPr>
        <w:pBdr>
          <w:top w:val="nil"/>
          <w:left w:val="nil"/>
          <w:bottom w:val="nil"/>
          <w:right w:val="nil"/>
          <w:between w:val="nil"/>
        </w:pBdr>
        <w:spacing w:after="0"/>
        <w:ind w:left="720"/>
        <w:rPr>
          <w:rFonts w:ascii="Times New Roman" w:eastAsia="Times New Roman" w:hAnsi="Times New Roman"/>
          <w:color w:val="000000"/>
          <w:sz w:val="24"/>
          <w:szCs w:val="24"/>
          <w:highlight w:val="yellow"/>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Exemplifying equity, ethics, and engagement.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classroom and the community, value the complexity of ethical decision making in a diverse society, acknowledge the importance of standards in academic and professional integrity, and demonstrate honesty, tolerance, and civility in social and academic interactions.</w:t>
      </w:r>
      <w:proofErr w:type="gramEnd"/>
      <w:r>
        <w:rPr>
          <w:rFonts w:ascii="Times New Roman" w:eastAsia="Times New Roman" w:hAnsi="Times New Roman"/>
          <w:color w:val="000000"/>
          <w:sz w:val="24"/>
          <w:szCs w:val="24"/>
        </w:rPr>
        <w:t xml:space="preserve"> Building upon this at the graduate level, students will apply these values in the creation of scholarly and/or aesthetic works that enrich the human experience.</w:t>
      </w:r>
    </w:p>
    <w:p w:rsidR="00923CE7" w:rsidRDefault="00923CE7">
      <w:pPr>
        <w:pBdr>
          <w:top w:val="nil"/>
          <w:left w:val="nil"/>
          <w:bottom w:val="nil"/>
          <w:right w:val="nil"/>
          <w:between w:val="nil"/>
        </w:pBdr>
        <w:spacing w:after="0"/>
        <w:ind w:left="720"/>
        <w:rPr>
          <w:rFonts w:ascii="Times New Roman" w:eastAsia="Times New Roman" w:hAnsi="Times New Roman"/>
          <w:color w:val="000000"/>
          <w:sz w:val="24"/>
          <w:szCs w:val="24"/>
        </w:rPr>
      </w:pPr>
    </w:p>
    <w:p w:rsidR="00923CE7" w:rsidRDefault="00616656">
      <w:pPr>
        <w:numPr>
          <w:ilvl w:val="1"/>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Program Learning Outcomes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a</w:t>
      </w:r>
      <w:r>
        <w:rPr>
          <w:rFonts w:ascii="Times New Roman" w:eastAsia="Times New Roman" w:hAnsi="Times New Roman"/>
          <w:color w:val="000000"/>
          <w:sz w:val="24"/>
          <w:szCs w:val="24"/>
        </w:rPr>
        <w:t xml:space="preserve">lso known as </w:t>
      </w:r>
      <w:r>
        <w:rPr>
          <w:rFonts w:ascii="Times New Roman" w:eastAsia="Times New Roman" w:hAnsi="Times New Roman"/>
          <w:sz w:val="24"/>
          <w:szCs w:val="24"/>
        </w:rPr>
        <w:t>g</w:t>
      </w:r>
      <w:r>
        <w:rPr>
          <w:rFonts w:ascii="Times New Roman" w:eastAsia="Times New Roman" w:hAnsi="Times New Roman"/>
          <w:color w:val="000000"/>
          <w:sz w:val="24"/>
          <w:szCs w:val="24"/>
        </w:rPr>
        <w:t xml:space="preserve">oals) </w:t>
      </w:r>
      <w:r>
        <w:rPr>
          <w:rFonts w:ascii="Times New Roman" w:eastAsia="Times New Roman" w:hAnsi="Times New Roman"/>
          <w:b/>
          <w:color w:val="000000"/>
          <w:sz w:val="24"/>
          <w:szCs w:val="24"/>
        </w:rPr>
        <w:t>and related SLOs</w:t>
      </w:r>
    </w:p>
    <w:p w:rsidR="00923CE7" w:rsidRDefault="00616656">
      <w:pPr>
        <w:pBdr>
          <w:top w:val="nil"/>
          <w:left w:val="nil"/>
          <w:bottom w:val="nil"/>
          <w:right w:val="nil"/>
          <w:between w:val="nil"/>
        </w:pBdr>
        <w:spacing w:after="0"/>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Program Learning Outcomes or GOALS are the specific knowledge and skills that the department/program will develop or strengthen in students. These PLO’s or Goals may be broader than SLOs but must be measurable and each PLO must have at least one SLO to which is directly linked/aligned. </w:t>
      </w: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Learning Outcome 1: </w:t>
      </w:r>
      <w:r>
        <w:rPr>
          <w:rFonts w:ascii="Times New Roman" w:eastAsia="Times New Roman" w:hAnsi="Times New Roman"/>
          <w:color w:val="000000"/>
          <w:sz w:val="24"/>
          <w:szCs w:val="24"/>
        </w:rPr>
        <w:t>Discipline-related knowledge: Students will attain discipline-related knowledge that prepare them for long-term careers in the Forensic Behavioral Sciences.</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Student Learning Outcome 1: </w:t>
      </w:r>
      <w:r>
        <w:rPr>
          <w:rFonts w:ascii="Times New Roman" w:eastAsia="Times New Roman" w:hAnsi="Times New Roman"/>
          <w:color w:val="000000"/>
          <w:sz w:val="24"/>
          <w:szCs w:val="24"/>
        </w:rPr>
        <w:t>Students will be able to correctly and accurately define and describe key criminological and forensic behavioral science terms, theories, and specific examples from criminal law, as well as various aspects of the criminal justice system.</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Learning Outcome 2: </w:t>
      </w:r>
      <w:r>
        <w:rPr>
          <w:rFonts w:ascii="Times New Roman" w:eastAsia="Times New Roman" w:hAnsi="Times New Roman"/>
          <w:color w:val="000000"/>
          <w:sz w:val="24"/>
          <w:szCs w:val="24"/>
        </w:rPr>
        <w:t>Writing proficiency: Students will attain basic writing skills that prepare them for long-term careers in the Forensic Behavioral Sciences.</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Student Learning Outcome 2: </w:t>
      </w:r>
      <w:r>
        <w:rPr>
          <w:rFonts w:ascii="Times New Roman" w:eastAsia="Times New Roman" w:hAnsi="Times New Roman"/>
          <w:color w:val="000000"/>
          <w:sz w:val="24"/>
          <w:szCs w:val="24"/>
        </w:rPr>
        <w:t>Students will be able to write a paper with appropriate use of skills in mechanics, organization, and format.</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Learning Outcome 3: </w:t>
      </w:r>
      <w:r>
        <w:rPr>
          <w:rFonts w:ascii="Times New Roman" w:eastAsia="Times New Roman" w:hAnsi="Times New Roman"/>
          <w:color w:val="000000"/>
          <w:sz w:val="24"/>
          <w:szCs w:val="24"/>
        </w:rPr>
        <w:t>Information literacy: Students will be able to identify, locate, access, and use information relevant to their inquiries and be able to cite this information appropriately.</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Student Learning Outcome 3: </w:t>
      </w:r>
      <w:r>
        <w:rPr>
          <w:rFonts w:ascii="Times New Roman" w:eastAsia="Times New Roman" w:hAnsi="Times New Roman"/>
          <w:color w:val="000000"/>
          <w:sz w:val="24"/>
          <w:szCs w:val="24"/>
        </w:rPr>
        <w:t>Students will be able to access the needed information effectively and efficiently and evaluate the information and its sources critically.</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Learning Outcome 4: </w:t>
      </w:r>
      <w:r>
        <w:rPr>
          <w:rFonts w:ascii="Times New Roman" w:eastAsia="Times New Roman" w:hAnsi="Times New Roman"/>
          <w:color w:val="000000"/>
          <w:sz w:val="24"/>
          <w:szCs w:val="24"/>
        </w:rPr>
        <w:t>Critical thinking: Students will think critically and will apply specific knowledge and skills in order to evaluate situations according to professional values and ethics and make appropriate decisions.</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Student Learning Outcome 4: </w:t>
      </w:r>
      <w:r>
        <w:rPr>
          <w:rFonts w:ascii="Times New Roman" w:eastAsia="Times New Roman" w:hAnsi="Times New Roman"/>
          <w:color w:val="000000"/>
          <w:sz w:val="24"/>
          <w:szCs w:val="24"/>
        </w:rPr>
        <w:t>Students will be able to demonstrate their ability to apply critical thinking to evaluate situations and make decisions in their specific field.</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Program Learning Outcome 5: </w:t>
      </w:r>
      <w:r>
        <w:rPr>
          <w:rFonts w:ascii="Times New Roman" w:eastAsia="Times New Roman" w:hAnsi="Times New Roman"/>
          <w:color w:val="000000"/>
          <w:sz w:val="24"/>
          <w:szCs w:val="24"/>
        </w:rPr>
        <w:t>Methodological and statistical competency: Students will understand basic research and quantitative strategies for uses specific to the Forensic Behavioral Sciences.</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Student Learning Outcome 5: </w:t>
      </w:r>
      <w:r>
        <w:rPr>
          <w:rFonts w:ascii="Times New Roman" w:eastAsia="Times New Roman" w:hAnsi="Times New Roman"/>
          <w:color w:val="000000"/>
          <w:sz w:val="24"/>
          <w:szCs w:val="24"/>
        </w:rPr>
        <w:t>Students will be able to perform data analysis, interpret the findings, and make statistical conclusions.</w:t>
      </w:r>
    </w:p>
    <w:p w:rsidR="00923CE7" w:rsidRDefault="00923CE7">
      <w:pPr>
        <w:pBdr>
          <w:top w:val="nil"/>
          <w:left w:val="nil"/>
          <w:bottom w:val="nil"/>
          <w:right w:val="nil"/>
          <w:between w:val="nil"/>
        </w:pBdr>
        <w:ind w:left="1080"/>
        <w:rPr>
          <w:rFonts w:ascii="Times New Roman" w:eastAsia="Times New Roman" w:hAnsi="Times New Roman"/>
          <w:color w:val="000000"/>
          <w:sz w:val="24"/>
          <w:szCs w:val="24"/>
        </w:rPr>
      </w:pPr>
    </w:p>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Map [d]: Courses in which SLO’s are addressed and evaluated</w:t>
      </w:r>
    </w:p>
    <w:tbl>
      <w:tblPr>
        <w:tblStyle w:val="a0"/>
        <w:tblW w:w="935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2"/>
        <w:gridCol w:w="1483"/>
        <w:gridCol w:w="1440"/>
        <w:gridCol w:w="1640"/>
        <w:gridCol w:w="1328"/>
        <w:gridCol w:w="1707"/>
      </w:tblGrid>
      <w:tr w:rsidR="00923CE7">
        <w:tc>
          <w:tcPr>
            <w:tcW w:w="1752" w:type="dxa"/>
          </w:tcPr>
          <w:p w:rsidR="00923CE7" w:rsidRDefault="00923CE7">
            <w:pPr>
              <w:rPr>
                <w:rFonts w:ascii="Times New Roman" w:eastAsia="Times New Roman" w:hAnsi="Times New Roman"/>
                <w:sz w:val="24"/>
                <w:szCs w:val="24"/>
              </w:rPr>
            </w:pP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1 Knowledge</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Outcome 2 Writing Competency </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3 Information Literacy</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4 Critical Thinking</w:t>
            </w:r>
          </w:p>
        </w:tc>
        <w:tc>
          <w:tcPr>
            <w:tcW w:w="170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Outcome 5 Quantitative Reasoning </w:t>
            </w: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Course</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 or D or M</w:t>
            </w:r>
          </w:p>
        </w:tc>
        <w:tc>
          <w:tcPr>
            <w:tcW w:w="1440" w:type="dxa"/>
          </w:tcPr>
          <w:p w:rsidR="00923CE7" w:rsidRDefault="00923CE7">
            <w:pPr>
              <w:rPr>
                <w:rFonts w:ascii="Times New Roman" w:eastAsia="Times New Roman" w:hAnsi="Times New Roman"/>
                <w:sz w:val="24"/>
                <w:szCs w:val="24"/>
              </w:rPr>
            </w:pPr>
          </w:p>
        </w:tc>
        <w:tc>
          <w:tcPr>
            <w:tcW w:w="1640" w:type="dxa"/>
          </w:tcPr>
          <w:p w:rsidR="00923CE7" w:rsidRDefault="00923CE7">
            <w:pPr>
              <w:rPr>
                <w:rFonts w:ascii="Times New Roman" w:eastAsia="Times New Roman" w:hAnsi="Times New Roman"/>
                <w:sz w:val="24"/>
                <w:szCs w:val="24"/>
              </w:rPr>
            </w:pPr>
          </w:p>
        </w:tc>
        <w:tc>
          <w:tcPr>
            <w:tcW w:w="1328" w:type="dxa"/>
          </w:tcPr>
          <w:p w:rsidR="00923CE7" w:rsidRDefault="00923CE7">
            <w:pPr>
              <w:rPr>
                <w:rFonts w:ascii="Times New Roman" w:eastAsia="Times New Roman" w:hAnsi="Times New Roman"/>
                <w:sz w:val="24"/>
                <w:szCs w:val="24"/>
              </w:rPr>
            </w:pP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i/>
                <w:sz w:val="24"/>
                <w:szCs w:val="24"/>
              </w:rPr>
            </w:pPr>
            <w:r>
              <w:rPr>
                <w:rFonts w:ascii="Times New Roman" w:eastAsia="Times New Roman" w:hAnsi="Times New Roman"/>
                <w:i/>
                <w:sz w:val="24"/>
                <w:szCs w:val="24"/>
              </w:rPr>
              <w:t>Lower Division</w:t>
            </w:r>
          </w:p>
        </w:tc>
        <w:tc>
          <w:tcPr>
            <w:tcW w:w="1483" w:type="dxa"/>
          </w:tcPr>
          <w:p w:rsidR="00923CE7" w:rsidRDefault="00923CE7">
            <w:pPr>
              <w:rPr>
                <w:rFonts w:ascii="Times New Roman" w:eastAsia="Times New Roman" w:hAnsi="Times New Roman"/>
                <w:sz w:val="24"/>
                <w:szCs w:val="24"/>
              </w:rPr>
            </w:pPr>
          </w:p>
        </w:tc>
        <w:tc>
          <w:tcPr>
            <w:tcW w:w="1440" w:type="dxa"/>
          </w:tcPr>
          <w:p w:rsidR="00923CE7" w:rsidRDefault="00923CE7">
            <w:pPr>
              <w:rPr>
                <w:rFonts w:ascii="Times New Roman" w:eastAsia="Times New Roman" w:hAnsi="Times New Roman"/>
                <w:sz w:val="24"/>
                <w:szCs w:val="24"/>
              </w:rPr>
            </w:pPr>
          </w:p>
        </w:tc>
        <w:tc>
          <w:tcPr>
            <w:tcW w:w="1640" w:type="dxa"/>
          </w:tcPr>
          <w:p w:rsidR="00923CE7" w:rsidRDefault="00923CE7">
            <w:pPr>
              <w:rPr>
                <w:rFonts w:ascii="Times New Roman" w:eastAsia="Times New Roman" w:hAnsi="Times New Roman"/>
                <w:sz w:val="24"/>
                <w:szCs w:val="24"/>
              </w:rPr>
            </w:pPr>
          </w:p>
        </w:tc>
        <w:tc>
          <w:tcPr>
            <w:tcW w:w="1328" w:type="dxa"/>
          </w:tcPr>
          <w:p w:rsidR="00923CE7" w:rsidRDefault="00923CE7">
            <w:pPr>
              <w:rPr>
                <w:rFonts w:ascii="Times New Roman" w:eastAsia="Times New Roman" w:hAnsi="Times New Roman"/>
                <w:sz w:val="24"/>
                <w:szCs w:val="24"/>
              </w:rPr>
            </w:pP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1</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2</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20</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lastRenderedPageBreak/>
              <w:t>CRIM 50</w:t>
            </w:r>
          </w:p>
        </w:tc>
        <w:tc>
          <w:tcPr>
            <w:tcW w:w="1483" w:type="dxa"/>
          </w:tcPr>
          <w:p w:rsidR="00923CE7" w:rsidRDefault="00923CE7">
            <w:pPr>
              <w:rPr>
                <w:rFonts w:ascii="Times New Roman" w:eastAsia="Times New Roman" w:hAnsi="Times New Roman"/>
                <w:sz w:val="24"/>
                <w:szCs w:val="24"/>
              </w:rPr>
            </w:pPr>
          </w:p>
        </w:tc>
        <w:tc>
          <w:tcPr>
            <w:tcW w:w="1440" w:type="dxa"/>
          </w:tcPr>
          <w:p w:rsidR="00923CE7" w:rsidRDefault="00923CE7">
            <w:pPr>
              <w:rPr>
                <w:rFonts w:ascii="Times New Roman" w:eastAsia="Times New Roman" w:hAnsi="Times New Roman"/>
                <w:sz w:val="24"/>
                <w:szCs w:val="24"/>
              </w:rPr>
            </w:pPr>
          </w:p>
        </w:tc>
        <w:tc>
          <w:tcPr>
            <w:tcW w:w="1640" w:type="dxa"/>
          </w:tcPr>
          <w:p w:rsidR="00923CE7" w:rsidRDefault="00923CE7">
            <w:pPr>
              <w:rPr>
                <w:rFonts w:ascii="Times New Roman" w:eastAsia="Times New Roman" w:hAnsi="Times New Roman"/>
                <w:sz w:val="24"/>
                <w:szCs w:val="24"/>
              </w:rPr>
            </w:pPr>
          </w:p>
        </w:tc>
        <w:tc>
          <w:tcPr>
            <w:tcW w:w="1328" w:type="dxa"/>
          </w:tcPr>
          <w:p w:rsidR="00923CE7" w:rsidRDefault="00923CE7">
            <w:pPr>
              <w:rPr>
                <w:rFonts w:ascii="Times New Roman" w:eastAsia="Times New Roman" w:hAnsi="Times New Roman"/>
                <w:sz w:val="24"/>
                <w:szCs w:val="24"/>
              </w:rPr>
            </w:pPr>
          </w:p>
        </w:tc>
        <w:tc>
          <w:tcPr>
            <w:tcW w:w="170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w:t>
            </w:r>
          </w:p>
        </w:tc>
      </w:tr>
      <w:tr w:rsidR="00923CE7">
        <w:tc>
          <w:tcPr>
            <w:tcW w:w="1752" w:type="dxa"/>
          </w:tcPr>
          <w:p w:rsidR="00923CE7" w:rsidRDefault="00616656">
            <w:pPr>
              <w:rPr>
                <w:rFonts w:ascii="Times New Roman" w:eastAsia="Times New Roman" w:hAnsi="Times New Roman"/>
                <w:i/>
                <w:sz w:val="24"/>
                <w:szCs w:val="24"/>
              </w:rPr>
            </w:pPr>
            <w:r>
              <w:rPr>
                <w:rFonts w:ascii="Times New Roman" w:eastAsia="Times New Roman" w:hAnsi="Times New Roman"/>
                <w:i/>
                <w:sz w:val="24"/>
                <w:szCs w:val="24"/>
              </w:rPr>
              <w:t>Upper Division</w:t>
            </w:r>
          </w:p>
        </w:tc>
        <w:tc>
          <w:tcPr>
            <w:tcW w:w="1483" w:type="dxa"/>
          </w:tcPr>
          <w:p w:rsidR="00923CE7" w:rsidRDefault="00923CE7">
            <w:pPr>
              <w:rPr>
                <w:rFonts w:ascii="Times New Roman" w:eastAsia="Times New Roman" w:hAnsi="Times New Roman"/>
                <w:sz w:val="24"/>
                <w:szCs w:val="24"/>
              </w:rPr>
            </w:pPr>
          </w:p>
        </w:tc>
        <w:tc>
          <w:tcPr>
            <w:tcW w:w="1440" w:type="dxa"/>
          </w:tcPr>
          <w:p w:rsidR="00923CE7" w:rsidRDefault="00923CE7">
            <w:pPr>
              <w:rPr>
                <w:rFonts w:ascii="Times New Roman" w:eastAsia="Times New Roman" w:hAnsi="Times New Roman"/>
                <w:sz w:val="24"/>
                <w:szCs w:val="24"/>
              </w:rPr>
            </w:pPr>
          </w:p>
        </w:tc>
        <w:tc>
          <w:tcPr>
            <w:tcW w:w="1640" w:type="dxa"/>
          </w:tcPr>
          <w:p w:rsidR="00923CE7" w:rsidRDefault="00923CE7">
            <w:pPr>
              <w:rPr>
                <w:rFonts w:ascii="Times New Roman" w:eastAsia="Times New Roman" w:hAnsi="Times New Roman"/>
                <w:sz w:val="24"/>
                <w:szCs w:val="24"/>
              </w:rPr>
            </w:pPr>
          </w:p>
        </w:tc>
        <w:tc>
          <w:tcPr>
            <w:tcW w:w="1328" w:type="dxa"/>
          </w:tcPr>
          <w:p w:rsidR="00923CE7" w:rsidRDefault="00923CE7">
            <w:pPr>
              <w:rPr>
                <w:rFonts w:ascii="Times New Roman" w:eastAsia="Times New Roman" w:hAnsi="Times New Roman"/>
                <w:sz w:val="24"/>
                <w:szCs w:val="24"/>
              </w:rPr>
            </w:pP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100</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100H</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113</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FBS 114</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FBS 153</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FBS 154</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FBS 155</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FBS 156</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D</w:t>
            </w:r>
          </w:p>
        </w:tc>
        <w:tc>
          <w:tcPr>
            <w:tcW w:w="1707" w:type="dxa"/>
          </w:tcPr>
          <w:p w:rsidR="00923CE7" w:rsidRDefault="00923CE7">
            <w:pPr>
              <w:rPr>
                <w:rFonts w:ascii="Times New Roman" w:eastAsia="Times New Roman" w:hAnsi="Times New Roman"/>
                <w:sz w:val="24"/>
                <w:szCs w:val="24"/>
              </w:rPr>
            </w:pPr>
          </w:p>
        </w:tc>
      </w:tr>
      <w:tr w:rsidR="00923CE7">
        <w:tc>
          <w:tcPr>
            <w:tcW w:w="1752"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CRIM 170 (or CRIM 170H or PSYCH 144)</w:t>
            </w:r>
          </w:p>
        </w:tc>
        <w:tc>
          <w:tcPr>
            <w:tcW w:w="148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c>
          <w:tcPr>
            <w:tcW w:w="14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c>
          <w:tcPr>
            <w:tcW w:w="164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c>
          <w:tcPr>
            <w:tcW w:w="1328"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c>
          <w:tcPr>
            <w:tcW w:w="170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M</w:t>
            </w:r>
          </w:p>
        </w:tc>
      </w:tr>
    </w:tbl>
    <w:p w:rsidR="00923CE7" w:rsidRDefault="00923CE7">
      <w:pPr>
        <w:rPr>
          <w:rFonts w:ascii="Times New Roman" w:eastAsia="Times New Roman" w:hAnsi="Times New Roman"/>
          <w:sz w:val="24"/>
          <w:szCs w:val="24"/>
        </w:rPr>
      </w:pPr>
    </w:p>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For courses in the major, using the abbreviations below, indicate which outcomes </w:t>
      </w:r>
      <w:proofErr w:type="gramStart"/>
      <w:r>
        <w:rPr>
          <w:rFonts w:ascii="Times New Roman" w:eastAsia="Times New Roman" w:hAnsi="Times New Roman"/>
          <w:sz w:val="24"/>
          <w:szCs w:val="24"/>
        </w:rPr>
        <w:t>are introduced</w:t>
      </w:r>
      <w:proofErr w:type="gramEnd"/>
      <w:r>
        <w:rPr>
          <w:rFonts w:ascii="Times New Roman" w:eastAsia="Times New Roman" w:hAnsi="Times New Roman"/>
          <w:sz w:val="24"/>
          <w:szCs w:val="24"/>
        </w:rPr>
        <w:t>, which are developed, and which are mastered in that particular course.</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2351"/>
        <w:gridCol w:w="2347"/>
        <w:gridCol w:w="2359"/>
        <w:gridCol w:w="2303"/>
      </w:tblGrid>
      <w:tr w:rsidR="00923CE7">
        <w:tc>
          <w:tcPr>
            <w:tcW w:w="2351" w:type="dxa"/>
          </w:tcPr>
          <w:p w:rsidR="00923CE7" w:rsidRDefault="00616656">
            <w:pPr>
              <w:jc w:val="center"/>
              <w:rPr>
                <w:rFonts w:ascii="Times New Roman" w:eastAsia="Times New Roman" w:hAnsi="Times New Roman"/>
                <w:sz w:val="24"/>
                <w:szCs w:val="24"/>
              </w:rPr>
            </w:pPr>
            <w:r>
              <w:rPr>
                <w:rFonts w:ascii="Times New Roman" w:eastAsia="Times New Roman" w:hAnsi="Times New Roman"/>
                <w:b/>
                <w:sz w:val="24"/>
                <w:szCs w:val="24"/>
              </w:rPr>
              <w:t>I = Introduced</w:t>
            </w:r>
          </w:p>
        </w:tc>
        <w:tc>
          <w:tcPr>
            <w:tcW w:w="2347" w:type="dxa"/>
          </w:tcPr>
          <w:p w:rsidR="00923CE7" w:rsidRDefault="00616656">
            <w:pPr>
              <w:jc w:val="center"/>
              <w:rPr>
                <w:rFonts w:ascii="Times New Roman" w:eastAsia="Times New Roman" w:hAnsi="Times New Roman"/>
                <w:sz w:val="24"/>
                <w:szCs w:val="24"/>
              </w:rPr>
            </w:pPr>
            <w:r>
              <w:rPr>
                <w:rFonts w:ascii="Times New Roman" w:eastAsia="Times New Roman" w:hAnsi="Times New Roman"/>
                <w:b/>
                <w:sz w:val="24"/>
                <w:szCs w:val="24"/>
              </w:rPr>
              <w:t>D = Developed</w:t>
            </w:r>
          </w:p>
        </w:tc>
        <w:tc>
          <w:tcPr>
            <w:tcW w:w="2359" w:type="dxa"/>
          </w:tcPr>
          <w:p w:rsidR="00923CE7" w:rsidRDefault="00616656">
            <w:pPr>
              <w:rPr>
                <w:rFonts w:ascii="Times New Roman" w:eastAsia="Times New Roman" w:hAnsi="Times New Roman"/>
                <w:b/>
                <w:sz w:val="24"/>
                <w:szCs w:val="24"/>
              </w:rPr>
            </w:pPr>
            <w:r>
              <w:rPr>
                <w:rFonts w:ascii="Times New Roman" w:eastAsia="Times New Roman" w:hAnsi="Times New Roman"/>
                <w:b/>
                <w:sz w:val="24"/>
                <w:szCs w:val="24"/>
              </w:rPr>
              <w:t>M=Mastered</w:t>
            </w:r>
          </w:p>
        </w:tc>
        <w:tc>
          <w:tcPr>
            <w:tcW w:w="2303" w:type="dxa"/>
          </w:tcPr>
          <w:p w:rsidR="00923CE7" w:rsidRDefault="00923CE7">
            <w:pPr>
              <w:rPr>
                <w:rFonts w:ascii="Times New Roman" w:eastAsia="Times New Roman" w:hAnsi="Times New Roman"/>
                <w:sz w:val="24"/>
                <w:szCs w:val="24"/>
              </w:rPr>
            </w:pPr>
          </w:p>
        </w:tc>
      </w:tr>
    </w:tbl>
    <w:p w:rsidR="00923CE7" w:rsidRDefault="00923CE7">
      <w:pPr>
        <w:rPr>
          <w:rFonts w:ascii="Times New Roman" w:eastAsia="Times New Roman" w:hAnsi="Times New Roman"/>
          <w:sz w:val="24"/>
          <w:szCs w:val="24"/>
        </w:rPr>
      </w:pPr>
    </w:p>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SLO’s Mapped to Assessment Measures and Methods </w:t>
      </w:r>
    </w:p>
    <w:tbl>
      <w:tblPr>
        <w:tblStyle w:val="a2"/>
        <w:tblW w:w="935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
        <w:gridCol w:w="1287"/>
        <w:gridCol w:w="1323"/>
        <w:gridCol w:w="1151"/>
        <w:gridCol w:w="1363"/>
        <w:gridCol w:w="1096"/>
        <w:gridCol w:w="1403"/>
      </w:tblGrid>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Assessment Measure</w:t>
            </w: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Evaluation</w:t>
            </w:r>
          </w:p>
          <w:p w:rsidR="00923CE7" w:rsidRDefault="00616656">
            <w:pPr>
              <w:rPr>
                <w:rFonts w:ascii="Times New Roman" w:eastAsia="Times New Roman" w:hAnsi="Times New Roman"/>
                <w:sz w:val="24"/>
                <w:szCs w:val="24"/>
              </w:rPr>
            </w:pPr>
            <w:r>
              <w:rPr>
                <w:rFonts w:ascii="Times New Roman" w:eastAsia="Times New Roman" w:hAnsi="Times New Roman"/>
                <w:sz w:val="24"/>
                <w:szCs w:val="24"/>
              </w:rPr>
              <w:t>Method</w:t>
            </w:r>
          </w:p>
        </w:tc>
        <w:tc>
          <w:tcPr>
            <w:tcW w:w="132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1 Knowledge</w:t>
            </w:r>
          </w:p>
        </w:tc>
        <w:tc>
          <w:tcPr>
            <w:tcW w:w="1151"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Outcome 2 Writing </w:t>
            </w:r>
          </w:p>
        </w:tc>
        <w:tc>
          <w:tcPr>
            <w:tcW w:w="136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3 Information Literacy</w:t>
            </w:r>
          </w:p>
        </w:tc>
        <w:tc>
          <w:tcPr>
            <w:tcW w:w="1096"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4 Critical Thinking</w:t>
            </w:r>
          </w:p>
        </w:tc>
        <w:tc>
          <w:tcPr>
            <w:tcW w:w="140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Outcome 5 Quantitative Reasoning</w:t>
            </w:r>
          </w:p>
        </w:tc>
      </w:tr>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Assessment exam</w:t>
            </w:r>
          </w:p>
          <w:p w:rsidR="00923CE7" w:rsidRDefault="00923CE7">
            <w:pPr>
              <w:rPr>
                <w:rFonts w:ascii="Times New Roman" w:eastAsia="Times New Roman" w:hAnsi="Times New Roman"/>
                <w:sz w:val="24"/>
                <w:szCs w:val="24"/>
              </w:rPr>
            </w:pP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Score </w:t>
            </w:r>
          </w:p>
        </w:tc>
        <w:tc>
          <w:tcPr>
            <w:tcW w:w="132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151" w:type="dxa"/>
          </w:tcPr>
          <w:p w:rsidR="00923CE7" w:rsidRDefault="00923CE7">
            <w:pPr>
              <w:rPr>
                <w:rFonts w:ascii="Times New Roman" w:eastAsia="Times New Roman" w:hAnsi="Times New Roman"/>
                <w:sz w:val="24"/>
                <w:szCs w:val="24"/>
              </w:rPr>
            </w:pPr>
          </w:p>
        </w:tc>
        <w:tc>
          <w:tcPr>
            <w:tcW w:w="1363" w:type="dxa"/>
          </w:tcPr>
          <w:p w:rsidR="00923CE7" w:rsidRDefault="00923CE7">
            <w:pPr>
              <w:rPr>
                <w:rFonts w:ascii="Times New Roman" w:eastAsia="Times New Roman" w:hAnsi="Times New Roman"/>
                <w:sz w:val="24"/>
                <w:szCs w:val="24"/>
              </w:rPr>
            </w:pPr>
          </w:p>
        </w:tc>
        <w:tc>
          <w:tcPr>
            <w:tcW w:w="1096" w:type="dxa"/>
          </w:tcPr>
          <w:p w:rsidR="00923CE7" w:rsidRDefault="00923CE7">
            <w:pPr>
              <w:rPr>
                <w:rFonts w:ascii="Times New Roman" w:eastAsia="Times New Roman" w:hAnsi="Times New Roman"/>
                <w:sz w:val="24"/>
                <w:szCs w:val="24"/>
              </w:rPr>
            </w:pPr>
          </w:p>
        </w:tc>
        <w:tc>
          <w:tcPr>
            <w:tcW w:w="1403" w:type="dxa"/>
          </w:tcPr>
          <w:p w:rsidR="00923CE7" w:rsidRDefault="00923CE7">
            <w:pPr>
              <w:rPr>
                <w:rFonts w:ascii="Times New Roman" w:eastAsia="Times New Roman" w:hAnsi="Times New Roman"/>
                <w:sz w:val="24"/>
                <w:szCs w:val="24"/>
              </w:rPr>
            </w:pPr>
          </w:p>
        </w:tc>
      </w:tr>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Term papers</w:t>
            </w: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Rubric</w:t>
            </w:r>
          </w:p>
        </w:tc>
        <w:tc>
          <w:tcPr>
            <w:tcW w:w="1323" w:type="dxa"/>
          </w:tcPr>
          <w:p w:rsidR="00923CE7" w:rsidRDefault="00923CE7">
            <w:pPr>
              <w:rPr>
                <w:rFonts w:ascii="Times New Roman" w:eastAsia="Times New Roman" w:hAnsi="Times New Roman"/>
                <w:sz w:val="24"/>
                <w:szCs w:val="24"/>
              </w:rPr>
            </w:pPr>
          </w:p>
        </w:tc>
        <w:tc>
          <w:tcPr>
            <w:tcW w:w="1151"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36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096" w:type="dxa"/>
          </w:tcPr>
          <w:p w:rsidR="00923CE7" w:rsidRDefault="00923CE7">
            <w:pPr>
              <w:rPr>
                <w:rFonts w:ascii="Times New Roman" w:eastAsia="Times New Roman" w:hAnsi="Times New Roman"/>
                <w:sz w:val="24"/>
                <w:szCs w:val="24"/>
              </w:rPr>
            </w:pPr>
          </w:p>
        </w:tc>
        <w:tc>
          <w:tcPr>
            <w:tcW w:w="1403" w:type="dxa"/>
          </w:tcPr>
          <w:p w:rsidR="00923CE7" w:rsidRDefault="00923CE7">
            <w:pPr>
              <w:rPr>
                <w:rFonts w:ascii="Times New Roman" w:eastAsia="Times New Roman" w:hAnsi="Times New Roman"/>
                <w:sz w:val="24"/>
                <w:szCs w:val="24"/>
              </w:rPr>
            </w:pPr>
          </w:p>
        </w:tc>
      </w:tr>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In-class short-answer questions</w:t>
            </w: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Rubric</w:t>
            </w:r>
          </w:p>
        </w:tc>
        <w:tc>
          <w:tcPr>
            <w:tcW w:w="1323" w:type="dxa"/>
          </w:tcPr>
          <w:p w:rsidR="00923CE7" w:rsidRDefault="00923CE7">
            <w:pPr>
              <w:rPr>
                <w:rFonts w:ascii="Times New Roman" w:eastAsia="Times New Roman" w:hAnsi="Times New Roman"/>
                <w:sz w:val="24"/>
                <w:szCs w:val="24"/>
              </w:rPr>
            </w:pPr>
          </w:p>
        </w:tc>
        <w:tc>
          <w:tcPr>
            <w:tcW w:w="1151" w:type="dxa"/>
          </w:tcPr>
          <w:p w:rsidR="00923CE7" w:rsidRDefault="00923CE7">
            <w:pPr>
              <w:rPr>
                <w:rFonts w:ascii="Times New Roman" w:eastAsia="Times New Roman" w:hAnsi="Times New Roman"/>
                <w:sz w:val="24"/>
                <w:szCs w:val="24"/>
              </w:rPr>
            </w:pPr>
          </w:p>
        </w:tc>
        <w:tc>
          <w:tcPr>
            <w:tcW w:w="1363" w:type="dxa"/>
          </w:tcPr>
          <w:p w:rsidR="00923CE7" w:rsidRDefault="00923CE7">
            <w:pPr>
              <w:rPr>
                <w:rFonts w:ascii="Times New Roman" w:eastAsia="Times New Roman" w:hAnsi="Times New Roman"/>
                <w:sz w:val="24"/>
                <w:szCs w:val="24"/>
              </w:rPr>
            </w:pPr>
          </w:p>
        </w:tc>
        <w:tc>
          <w:tcPr>
            <w:tcW w:w="1096"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403" w:type="dxa"/>
          </w:tcPr>
          <w:p w:rsidR="00923CE7" w:rsidRDefault="00923CE7">
            <w:pPr>
              <w:rPr>
                <w:rFonts w:ascii="Times New Roman" w:eastAsia="Times New Roman" w:hAnsi="Times New Roman"/>
                <w:sz w:val="24"/>
                <w:szCs w:val="24"/>
              </w:rPr>
            </w:pPr>
          </w:p>
        </w:tc>
      </w:tr>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Quantitative exercises</w:t>
            </w: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Rubric</w:t>
            </w:r>
          </w:p>
        </w:tc>
        <w:tc>
          <w:tcPr>
            <w:tcW w:w="1323" w:type="dxa"/>
          </w:tcPr>
          <w:p w:rsidR="00923CE7" w:rsidRDefault="00923CE7">
            <w:pPr>
              <w:rPr>
                <w:rFonts w:ascii="Times New Roman" w:eastAsia="Times New Roman" w:hAnsi="Times New Roman"/>
                <w:sz w:val="24"/>
                <w:szCs w:val="24"/>
              </w:rPr>
            </w:pPr>
          </w:p>
        </w:tc>
        <w:tc>
          <w:tcPr>
            <w:tcW w:w="1151" w:type="dxa"/>
          </w:tcPr>
          <w:p w:rsidR="00923CE7" w:rsidRDefault="00923CE7">
            <w:pPr>
              <w:rPr>
                <w:rFonts w:ascii="Times New Roman" w:eastAsia="Times New Roman" w:hAnsi="Times New Roman"/>
                <w:sz w:val="24"/>
                <w:szCs w:val="24"/>
              </w:rPr>
            </w:pPr>
          </w:p>
        </w:tc>
        <w:tc>
          <w:tcPr>
            <w:tcW w:w="1363" w:type="dxa"/>
          </w:tcPr>
          <w:p w:rsidR="00923CE7" w:rsidRDefault="00923CE7">
            <w:pPr>
              <w:rPr>
                <w:rFonts w:ascii="Times New Roman" w:eastAsia="Times New Roman" w:hAnsi="Times New Roman"/>
                <w:sz w:val="24"/>
                <w:szCs w:val="24"/>
              </w:rPr>
            </w:pPr>
          </w:p>
        </w:tc>
        <w:tc>
          <w:tcPr>
            <w:tcW w:w="1096" w:type="dxa"/>
          </w:tcPr>
          <w:p w:rsidR="00923CE7" w:rsidRDefault="00923CE7">
            <w:pPr>
              <w:rPr>
                <w:rFonts w:ascii="Times New Roman" w:eastAsia="Times New Roman" w:hAnsi="Times New Roman"/>
                <w:sz w:val="24"/>
                <w:szCs w:val="24"/>
              </w:rPr>
            </w:pPr>
          </w:p>
        </w:tc>
        <w:tc>
          <w:tcPr>
            <w:tcW w:w="140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r>
      <w:tr w:rsidR="00923CE7">
        <w:tc>
          <w:tcPr>
            <w:tcW w:w="172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Exit survey</w:t>
            </w:r>
          </w:p>
        </w:tc>
        <w:tc>
          <w:tcPr>
            <w:tcW w:w="1287"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Rubric</w:t>
            </w:r>
          </w:p>
        </w:tc>
        <w:tc>
          <w:tcPr>
            <w:tcW w:w="132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151"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36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096"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c>
          <w:tcPr>
            <w:tcW w:w="1403"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X</w:t>
            </w:r>
          </w:p>
        </w:tc>
      </w:tr>
    </w:tbl>
    <w:p w:rsidR="00923CE7" w:rsidRDefault="00923CE7">
      <w:pPr>
        <w:rPr>
          <w:rFonts w:ascii="Times New Roman" w:eastAsia="Times New Roman" w:hAnsi="Times New Roman"/>
          <w:sz w:val="24"/>
          <w:szCs w:val="24"/>
        </w:rPr>
      </w:pPr>
    </w:p>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Measures: Description of Assignment and Method (rubric, criteria, etc.) used to evaluate the assignment </w:t>
      </w:r>
    </w:p>
    <w:p w:rsidR="00923CE7" w:rsidRDefault="00616656">
      <w:pPr>
        <w:numPr>
          <w:ilvl w:val="1"/>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Direct Measures (Department/Program must use a minimum of three different direct measures)</w:t>
      </w: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Assessment exam:</w:t>
      </w:r>
      <w:r>
        <w:rPr>
          <w:rFonts w:ascii="Times New Roman" w:eastAsia="Times New Roman" w:hAnsi="Times New Roman"/>
          <w:color w:val="000000"/>
          <w:sz w:val="24"/>
          <w:szCs w:val="24"/>
        </w:rPr>
        <w:t xml:space="preserve"> The students’ discipline-related knowledge will be evaluated using at least 20 assessment questions in one of their upper-division courses or via a requirement when students register for graduation (Outcome 1)</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i/>
          <w:color w:val="000000"/>
          <w:sz w:val="24"/>
          <w:szCs w:val="24"/>
        </w:rPr>
        <w:t>Benchmark:</w:t>
      </w:r>
      <w:r>
        <w:rPr>
          <w:rFonts w:ascii="Times New Roman" w:eastAsia="Times New Roman" w:hAnsi="Times New Roman"/>
          <w:color w:val="000000"/>
          <w:sz w:val="24"/>
          <w:szCs w:val="24"/>
        </w:rPr>
        <w:t xml:space="preserve"> Seventy-five percent or more of the students </w:t>
      </w:r>
      <w:proofErr w:type="gramStart"/>
      <w:r>
        <w:rPr>
          <w:rFonts w:ascii="Times New Roman" w:eastAsia="Times New Roman" w:hAnsi="Times New Roman"/>
          <w:sz w:val="24"/>
          <w:szCs w:val="24"/>
        </w:rPr>
        <w:t>are expected</w:t>
      </w:r>
      <w:proofErr w:type="gramEnd"/>
      <w:r>
        <w:rPr>
          <w:rFonts w:ascii="Times New Roman" w:eastAsia="Times New Roman" w:hAnsi="Times New Roman"/>
          <w:sz w:val="24"/>
          <w:szCs w:val="24"/>
        </w:rPr>
        <w:t xml:space="preserve"> to</w:t>
      </w:r>
      <w:r>
        <w:rPr>
          <w:rFonts w:ascii="Times New Roman" w:eastAsia="Times New Roman" w:hAnsi="Times New Roman"/>
          <w:color w:val="000000"/>
          <w:sz w:val="24"/>
          <w:szCs w:val="24"/>
        </w:rPr>
        <w:t xml:space="preserve"> correctly answer 70% or more of the assessment questions.</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FBS 154 research papers:</w:t>
      </w:r>
      <w:r>
        <w:rPr>
          <w:rFonts w:ascii="Times New Roman" w:eastAsia="Times New Roman" w:hAnsi="Times New Roman"/>
          <w:color w:val="000000"/>
          <w:sz w:val="24"/>
          <w:szCs w:val="24"/>
        </w:rPr>
        <w:t xml:space="preserve"> Students will write APA-style papers in FBS 154. Samples of these </w:t>
      </w:r>
      <w:proofErr w:type="gramStart"/>
      <w:r>
        <w:rPr>
          <w:rFonts w:ascii="Times New Roman" w:eastAsia="Times New Roman" w:hAnsi="Times New Roman"/>
          <w:color w:val="000000"/>
          <w:sz w:val="24"/>
          <w:szCs w:val="24"/>
        </w:rPr>
        <w:t>will be evaluated</w:t>
      </w:r>
      <w:proofErr w:type="gramEnd"/>
      <w:r>
        <w:rPr>
          <w:rFonts w:ascii="Times New Roman" w:eastAsia="Times New Roman" w:hAnsi="Times New Roman"/>
          <w:color w:val="000000"/>
          <w:sz w:val="24"/>
          <w:szCs w:val="24"/>
        </w:rPr>
        <w:t xml:space="preserve"> according to a rubric to assess writing competency and information literacy (Outcomes 2 and 3).</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i/>
          <w:color w:val="000000"/>
          <w:sz w:val="24"/>
          <w:szCs w:val="24"/>
        </w:rPr>
        <w:t>Benchmark:</w:t>
      </w:r>
      <w:r>
        <w:rPr>
          <w:rFonts w:ascii="Times New Roman" w:eastAsia="Times New Roman" w:hAnsi="Times New Roman"/>
          <w:color w:val="000000"/>
          <w:sz w:val="24"/>
          <w:szCs w:val="24"/>
        </w:rPr>
        <w:t xml:space="preserve"> Seventy-five percent of students are expected to demonstrate writing competency by receiving </w:t>
      </w:r>
      <w:r>
        <w:rPr>
          <w:rFonts w:ascii="Times New Roman" w:eastAsia="Times New Roman" w:hAnsi="Times New Roman"/>
          <w:sz w:val="24"/>
          <w:szCs w:val="24"/>
        </w:rPr>
        <w:t xml:space="preserve">a mean score of </w:t>
      </w:r>
      <w:proofErr w:type="gramStart"/>
      <w:r>
        <w:rPr>
          <w:rFonts w:ascii="Times New Roman" w:eastAsia="Times New Roman" w:hAnsi="Times New Roman"/>
          <w:sz w:val="24"/>
          <w:szCs w:val="24"/>
        </w:rPr>
        <w:t>3</w:t>
      </w:r>
      <w:proofErr w:type="gramEnd"/>
      <w:r>
        <w:rPr>
          <w:rFonts w:ascii="Times New Roman" w:eastAsia="Times New Roman" w:hAnsi="Times New Roman"/>
          <w:sz w:val="24"/>
          <w:szCs w:val="24"/>
        </w:rPr>
        <w:t xml:space="preserve"> (based on program rubric) on the APA-style paper in FBS 154. </w:t>
      </w:r>
      <w:r>
        <w:rPr>
          <w:rFonts w:ascii="Times New Roman" w:eastAsia="Times New Roman" w:hAnsi="Times New Roman"/>
          <w:color w:val="000000"/>
          <w:sz w:val="24"/>
          <w:szCs w:val="24"/>
        </w:rPr>
        <w:t>.</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CRIM 50 in-class work or assignment:</w:t>
      </w:r>
      <w:r>
        <w:rPr>
          <w:rFonts w:ascii="Times New Roman" w:eastAsia="Times New Roman" w:hAnsi="Times New Roman"/>
          <w:color w:val="000000"/>
          <w:sz w:val="24"/>
          <w:szCs w:val="24"/>
        </w:rPr>
        <w:t xml:space="preserve"> Students will perform data analysis, interpret the findings, and make statistical conclusions using the SPSS software. Samples of these </w:t>
      </w:r>
      <w:proofErr w:type="gramStart"/>
      <w:r>
        <w:rPr>
          <w:rFonts w:ascii="Times New Roman" w:eastAsia="Times New Roman" w:hAnsi="Times New Roman"/>
          <w:color w:val="000000"/>
          <w:sz w:val="24"/>
          <w:szCs w:val="24"/>
        </w:rPr>
        <w:t>will be evaluated</w:t>
      </w:r>
      <w:proofErr w:type="gramEnd"/>
      <w:r>
        <w:rPr>
          <w:rFonts w:ascii="Times New Roman" w:eastAsia="Times New Roman" w:hAnsi="Times New Roman"/>
          <w:color w:val="000000"/>
          <w:sz w:val="24"/>
          <w:szCs w:val="24"/>
        </w:rPr>
        <w:t xml:space="preserve"> according to a rubric (Outcome 5).</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i/>
          <w:color w:val="000000"/>
          <w:sz w:val="24"/>
          <w:szCs w:val="24"/>
        </w:rPr>
        <w:t>Benchmark:</w:t>
      </w:r>
      <w:r>
        <w:rPr>
          <w:rFonts w:ascii="Times New Roman" w:eastAsia="Times New Roman" w:hAnsi="Times New Roman"/>
          <w:color w:val="000000"/>
          <w:sz w:val="24"/>
          <w:szCs w:val="24"/>
        </w:rPr>
        <w:t xml:space="preserve"> Seventy-five percent of students are expected to demonstrate statistical competency </w:t>
      </w:r>
      <w:r>
        <w:rPr>
          <w:rFonts w:ascii="Times New Roman" w:eastAsia="Times New Roman" w:hAnsi="Times New Roman"/>
          <w:sz w:val="24"/>
          <w:szCs w:val="24"/>
        </w:rPr>
        <w:t xml:space="preserve">by receiving a mean score of </w:t>
      </w:r>
      <w:proofErr w:type="gramStart"/>
      <w:r>
        <w:rPr>
          <w:rFonts w:ascii="Times New Roman" w:eastAsia="Times New Roman" w:hAnsi="Times New Roman"/>
          <w:sz w:val="24"/>
          <w:szCs w:val="24"/>
        </w:rPr>
        <w:t>3</w:t>
      </w:r>
      <w:proofErr w:type="gramEnd"/>
      <w:r>
        <w:rPr>
          <w:rFonts w:ascii="Times New Roman" w:eastAsia="Times New Roman" w:hAnsi="Times New Roman"/>
          <w:sz w:val="24"/>
          <w:szCs w:val="24"/>
        </w:rPr>
        <w:t xml:space="preserve"> (based on program rubric) on the CRIM 50 in-class work or assignment</w:t>
      </w:r>
      <w:r>
        <w:rPr>
          <w:rFonts w:ascii="Times New Roman" w:eastAsia="Times New Roman" w:hAnsi="Times New Roman"/>
          <w:color w:val="000000"/>
          <w:sz w:val="24"/>
          <w:szCs w:val="24"/>
        </w:rPr>
        <w:t>.</w:t>
      </w:r>
    </w:p>
    <w:p w:rsidR="00923CE7" w:rsidRDefault="00923CE7">
      <w:pPr>
        <w:pBdr>
          <w:top w:val="nil"/>
          <w:left w:val="nil"/>
          <w:bottom w:val="nil"/>
          <w:right w:val="nil"/>
          <w:between w:val="nil"/>
        </w:pBdr>
        <w:spacing w:after="0"/>
        <w:ind w:left="1440"/>
        <w:rPr>
          <w:rFonts w:ascii="Times New Roman" w:eastAsia="Times New Roman" w:hAnsi="Times New Roman"/>
          <w:color w:val="000000"/>
          <w:sz w:val="24"/>
          <w:szCs w:val="24"/>
        </w:rPr>
      </w:pP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FBS 114 assignment:</w:t>
      </w:r>
      <w:r>
        <w:rPr>
          <w:rFonts w:ascii="Times New Roman" w:eastAsia="Times New Roman" w:hAnsi="Times New Roman"/>
          <w:color w:val="000000"/>
          <w:sz w:val="24"/>
          <w:szCs w:val="24"/>
        </w:rPr>
        <w:t xml:space="preserve"> Students will </w:t>
      </w:r>
      <w:r>
        <w:rPr>
          <w:rFonts w:ascii="Times New Roman" w:eastAsia="Times New Roman" w:hAnsi="Times New Roman"/>
          <w:sz w:val="24"/>
          <w:szCs w:val="24"/>
        </w:rPr>
        <w:t xml:space="preserve">compose </w:t>
      </w:r>
      <w:r>
        <w:rPr>
          <w:rFonts w:ascii="Times New Roman" w:eastAsia="Times New Roman" w:hAnsi="Times New Roman"/>
          <w:color w:val="000000"/>
          <w:sz w:val="24"/>
          <w:szCs w:val="24"/>
        </w:rPr>
        <w:t>responses to critical thinking prompts (Outcome 4)</w:t>
      </w:r>
    </w:p>
    <w:p w:rsidR="00923CE7" w:rsidRDefault="00616656">
      <w:pPr>
        <w:numPr>
          <w:ilvl w:val="3"/>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i/>
          <w:color w:val="000000"/>
          <w:sz w:val="24"/>
          <w:szCs w:val="24"/>
        </w:rPr>
        <w:t>Benchmark:</w:t>
      </w:r>
      <w:r>
        <w:rPr>
          <w:rFonts w:ascii="Times New Roman" w:eastAsia="Times New Roman" w:hAnsi="Times New Roman"/>
          <w:color w:val="000000"/>
          <w:sz w:val="24"/>
          <w:szCs w:val="24"/>
        </w:rPr>
        <w:t xml:space="preserve"> Seventy-five percent of students are expected to demonstrate critical thinking competency by receiving a mean scor</w:t>
      </w:r>
      <w:r>
        <w:rPr>
          <w:rFonts w:ascii="Times New Roman" w:eastAsia="Times New Roman" w:hAnsi="Times New Roman"/>
          <w:sz w:val="24"/>
          <w:szCs w:val="24"/>
        </w:rPr>
        <w:t>e of 3 (based on program rubric) on the FBS 114 assignment</w:t>
      </w:r>
      <w:proofErr w:type="gramStart"/>
      <w:r>
        <w:rPr>
          <w:rFonts w:ascii="Times New Roman" w:eastAsia="Times New Roman" w:hAnsi="Times New Roman"/>
          <w:sz w:val="24"/>
          <w:szCs w:val="24"/>
        </w:rPr>
        <w:t>.</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
    <w:p w:rsidR="00923CE7" w:rsidRDefault="00923CE7">
      <w:pPr>
        <w:pBdr>
          <w:top w:val="nil"/>
          <w:left w:val="nil"/>
          <w:bottom w:val="nil"/>
          <w:right w:val="nil"/>
          <w:between w:val="nil"/>
        </w:pBdr>
        <w:spacing w:after="0"/>
        <w:ind w:left="1080"/>
        <w:rPr>
          <w:rFonts w:ascii="Times New Roman" w:eastAsia="Times New Roman" w:hAnsi="Times New Roman"/>
          <w:color w:val="000000"/>
          <w:sz w:val="24"/>
          <w:szCs w:val="24"/>
        </w:rPr>
      </w:pPr>
    </w:p>
    <w:p w:rsidR="00923CE7" w:rsidRDefault="00616656">
      <w:pPr>
        <w:numPr>
          <w:ilvl w:val="1"/>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Indirect Measures (Department/Program must use a minimum of one indirect measure)</w:t>
      </w:r>
    </w:p>
    <w:p w:rsidR="00923CE7" w:rsidRDefault="00616656">
      <w:pPr>
        <w:numPr>
          <w:ilvl w:val="2"/>
          <w:numId w:val="1"/>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rPr>
        <w:t>Exit survey:</w:t>
      </w:r>
      <w:r>
        <w:rPr>
          <w:rFonts w:ascii="Times New Roman" w:eastAsia="Times New Roman" w:hAnsi="Times New Roman"/>
          <w:color w:val="000000"/>
          <w:sz w:val="24"/>
          <w:szCs w:val="24"/>
        </w:rPr>
        <w:t xml:space="preserve"> Students who have applied for graduation </w:t>
      </w:r>
      <w:proofErr w:type="gramStart"/>
      <w:r>
        <w:rPr>
          <w:rFonts w:ascii="Times New Roman" w:eastAsia="Times New Roman" w:hAnsi="Times New Roman"/>
          <w:color w:val="000000"/>
          <w:sz w:val="24"/>
          <w:szCs w:val="24"/>
        </w:rPr>
        <w:t>will be asked</w:t>
      </w:r>
      <w:proofErr w:type="gramEnd"/>
      <w:r>
        <w:rPr>
          <w:rFonts w:ascii="Times New Roman" w:eastAsia="Times New Roman" w:hAnsi="Times New Roman"/>
          <w:color w:val="000000"/>
          <w:sz w:val="24"/>
          <w:szCs w:val="24"/>
        </w:rPr>
        <w:t xml:space="preserve"> to answer a survey commenting on the extent to which the Forensic Behavioral Sciences program at Fresno State has prepared them for their chosen career.</w:t>
      </w:r>
    </w:p>
    <w:p w:rsidR="00923CE7" w:rsidRDefault="00616656">
      <w:pPr>
        <w:numPr>
          <w:ilvl w:val="3"/>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b/>
          <w:i/>
          <w:color w:val="000000"/>
          <w:sz w:val="24"/>
          <w:szCs w:val="24"/>
        </w:rPr>
        <w:t>Benchmark:</w:t>
      </w:r>
      <w:r>
        <w:rPr>
          <w:rFonts w:ascii="Times New Roman" w:eastAsia="Times New Roman" w:hAnsi="Times New Roman"/>
          <w:color w:val="000000"/>
          <w:sz w:val="24"/>
          <w:szCs w:val="24"/>
        </w:rPr>
        <w:t xml:space="preserve"> At least 75% of respondents will score the program at </w:t>
      </w:r>
      <w:r>
        <w:rPr>
          <w:rFonts w:ascii="Times New Roman" w:eastAsia="Times New Roman" w:hAnsi="Times New Roman"/>
          <w:sz w:val="24"/>
          <w:szCs w:val="24"/>
        </w:rPr>
        <w:t xml:space="preserve">the </w:t>
      </w:r>
      <w:proofErr w:type="gramStart"/>
      <w:r>
        <w:rPr>
          <w:rFonts w:ascii="Times New Roman" w:eastAsia="Times New Roman" w:hAnsi="Times New Roman"/>
          <w:color w:val="000000"/>
          <w:sz w:val="24"/>
          <w:szCs w:val="24"/>
        </w:rPr>
        <w:t>3</w:t>
      </w:r>
      <w:proofErr w:type="gramEnd"/>
      <w:r>
        <w:rPr>
          <w:rFonts w:ascii="Times New Roman" w:eastAsia="Times New Roman" w:hAnsi="Times New Roman"/>
          <w:sz w:val="24"/>
          <w:szCs w:val="24"/>
        </w:rPr>
        <w:t xml:space="preserve"> </w:t>
      </w:r>
      <w:r>
        <w:rPr>
          <w:rFonts w:ascii="Times New Roman" w:eastAsia="Times New Roman" w:hAnsi="Times New Roman"/>
          <w:color w:val="000000"/>
          <w:sz w:val="24"/>
          <w:szCs w:val="24"/>
        </w:rPr>
        <w:t>or above level on at least half of the quantitative survey responses.</w:t>
      </w:r>
    </w:p>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Schedule/Timeline </w:t>
      </w:r>
    </w:p>
    <w:tbl>
      <w:tblPr>
        <w:tblStyle w:val="a3"/>
        <w:tblW w:w="874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0"/>
        <w:gridCol w:w="1530"/>
        <w:gridCol w:w="900"/>
        <w:gridCol w:w="885"/>
        <w:gridCol w:w="930"/>
        <w:gridCol w:w="975"/>
        <w:gridCol w:w="900"/>
        <w:gridCol w:w="696"/>
        <w:gridCol w:w="696"/>
      </w:tblGrid>
      <w:tr w:rsidR="00923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Academic</w:t>
            </w:r>
          </w:p>
          <w:p w:rsidR="00923CE7" w:rsidRDefault="00616656">
            <w:pPr>
              <w:rPr>
                <w:rFonts w:ascii="Times New Roman" w:eastAsia="Times New Roman" w:hAnsi="Times New Roman"/>
                <w:sz w:val="24"/>
                <w:szCs w:val="24"/>
              </w:rPr>
            </w:pPr>
            <w:r>
              <w:rPr>
                <w:rFonts w:ascii="Times New Roman" w:eastAsia="Times New Roman" w:hAnsi="Times New Roman"/>
                <w:sz w:val="24"/>
                <w:szCs w:val="24"/>
              </w:rPr>
              <w:t>Year</w:t>
            </w:r>
          </w:p>
        </w:tc>
        <w:tc>
          <w:tcPr>
            <w:tcW w:w="1530"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Measure</w:t>
            </w:r>
          </w:p>
        </w:tc>
        <w:tc>
          <w:tcPr>
            <w:tcW w:w="900"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SLO 1</w:t>
            </w:r>
          </w:p>
        </w:tc>
        <w:tc>
          <w:tcPr>
            <w:tcW w:w="885"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SLO 2</w:t>
            </w:r>
          </w:p>
        </w:tc>
        <w:tc>
          <w:tcPr>
            <w:tcW w:w="930"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SLO 3</w:t>
            </w:r>
          </w:p>
        </w:tc>
        <w:tc>
          <w:tcPr>
            <w:tcW w:w="975"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SLO 4</w:t>
            </w:r>
          </w:p>
        </w:tc>
        <w:tc>
          <w:tcPr>
            <w:tcW w:w="900" w:type="dxa"/>
          </w:tcPr>
          <w:p w:rsidR="00923CE7" w:rsidRDefault="006166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SLO 5</w:t>
            </w:r>
          </w:p>
        </w:tc>
        <w:tc>
          <w:tcPr>
            <w:tcW w:w="696" w:type="dxa"/>
          </w:tcPr>
          <w:p w:rsidR="00923CE7" w:rsidRDefault="00923C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92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2020-2021</w:t>
            </w:r>
          </w:p>
        </w:tc>
        <w:tc>
          <w:tcPr>
            <w:tcW w:w="153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Short-answer questions</w:t>
            </w:r>
          </w:p>
        </w:tc>
        <w:tc>
          <w:tcPr>
            <w:tcW w:w="900"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885"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930"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975"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00"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923CE7">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2021-2022</w:t>
            </w:r>
          </w:p>
        </w:tc>
        <w:tc>
          <w:tcPr>
            <w:tcW w:w="1530" w:type="dxa"/>
          </w:tcPr>
          <w:p w:rsidR="00923CE7" w:rsidRDefault="006166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Quantitative exercises</w:t>
            </w:r>
          </w:p>
        </w:tc>
        <w:tc>
          <w:tcPr>
            <w:tcW w:w="900"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885"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30"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75"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00" w:type="dxa"/>
          </w:tcPr>
          <w:p w:rsidR="00923CE7" w:rsidRDefault="006166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696"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92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lastRenderedPageBreak/>
              <w:t>2022-2023</w:t>
            </w:r>
          </w:p>
        </w:tc>
        <w:tc>
          <w:tcPr>
            <w:tcW w:w="153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Term paper</w:t>
            </w:r>
          </w:p>
        </w:tc>
        <w:tc>
          <w:tcPr>
            <w:tcW w:w="900"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885"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3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75"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900"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923CE7">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2023-2024</w:t>
            </w:r>
          </w:p>
        </w:tc>
        <w:tc>
          <w:tcPr>
            <w:tcW w:w="1530" w:type="dxa"/>
          </w:tcPr>
          <w:p w:rsidR="00923CE7" w:rsidRDefault="006166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Assessment exam</w:t>
            </w:r>
          </w:p>
        </w:tc>
        <w:tc>
          <w:tcPr>
            <w:tcW w:w="900" w:type="dxa"/>
          </w:tcPr>
          <w:p w:rsidR="00923CE7" w:rsidRDefault="006166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885"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30"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75"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900"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92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2024-2025</w:t>
            </w:r>
          </w:p>
        </w:tc>
        <w:tc>
          <w:tcPr>
            <w:tcW w:w="153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Exit survey</w:t>
            </w:r>
          </w:p>
        </w:tc>
        <w:tc>
          <w:tcPr>
            <w:tcW w:w="90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885"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3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75"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900" w:type="dxa"/>
          </w:tcPr>
          <w:p w:rsidR="00923CE7" w:rsidRDefault="006166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X</w:t>
            </w: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96" w:type="dxa"/>
          </w:tcPr>
          <w:p w:rsidR="00923CE7" w:rsidRDefault="00923C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rsidR="00923CE7" w:rsidRDefault="00923CE7">
      <w:pPr>
        <w:rPr>
          <w:rFonts w:ascii="Times New Roman" w:eastAsia="Times New Roman" w:hAnsi="Times New Roman"/>
          <w:sz w:val="24"/>
          <w:szCs w:val="24"/>
        </w:rPr>
      </w:pPr>
    </w:p>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923CE7">
        <w:tc>
          <w:tcPr>
            <w:tcW w:w="9314" w:type="dxa"/>
            <w:shd w:val="clear" w:color="auto" w:fill="DBE5F1"/>
          </w:tcPr>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the Loop </w:t>
            </w:r>
          </w:p>
        </w:tc>
      </w:tr>
      <w:tr w:rsidR="00923CE7">
        <w:tc>
          <w:tcPr>
            <w:tcW w:w="9314" w:type="dxa"/>
            <w:shd w:val="clear" w:color="auto" w:fill="244061"/>
          </w:tcPr>
          <w:p w:rsidR="00923CE7" w:rsidRDefault="00616656">
            <w:pPr>
              <w:rPr>
                <w:rFonts w:ascii="Times New Roman" w:eastAsia="Times New Roman" w:hAnsi="Times New Roman"/>
                <w:b/>
                <w:sz w:val="24"/>
                <w:szCs w:val="24"/>
              </w:rPr>
            </w:pPr>
            <w:r>
              <w:rPr>
                <w:rFonts w:ascii="Times New Roman" w:eastAsia="Times New Roman" w:hAnsi="Times New Roman"/>
                <w:b/>
                <w:sz w:val="24"/>
                <w:szCs w:val="24"/>
              </w:rPr>
              <w:t xml:space="preserve">Fresno State Closing the Loop process </w:t>
            </w:r>
            <w:proofErr w:type="gramStart"/>
            <w:r>
              <w:rPr>
                <w:rFonts w:ascii="Times New Roman" w:eastAsia="Times New Roman" w:hAnsi="Times New Roman"/>
                <w:b/>
                <w:sz w:val="24"/>
                <w:szCs w:val="24"/>
              </w:rPr>
              <w:t>is described</w:t>
            </w:r>
            <w:proofErr w:type="gramEnd"/>
            <w:r>
              <w:rPr>
                <w:rFonts w:ascii="Times New Roman" w:eastAsia="Times New Roman" w:hAnsi="Times New Roman"/>
                <w:b/>
                <w:sz w:val="24"/>
                <w:szCs w:val="24"/>
              </w:rPr>
              <w:t xml:space="preserve"> immediately below.</w:t>
            </w:r>
          </w:p>
        </w:tc>
      </w:tr>
      <w:tr w:rsidR="00923CE7">
        <w:tc>
          <w:tcPr>
            <w:tcW w:w="9314" w:type="dxa"/>
            <w:shd w:val="clear" w:color="auto" w:fill="DBE5F1"/>
          </w:tcPr>
          <w:p w:rsidR="00923CE7" w:rsidRDefault="0061665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923CE7">
        <w:trPr>
          <w:trHeight w:val="713"/>
        </w:trPr>
        <w:tc>
          <w:tcPr>
            <w:tcW w:w="9314" w:type="dxa"/>
          </w:tcPr>
          <w:p w:rsidR="00923CE7" w:rsidRDefault="00616656">
            <w:pPr>
              <w:rPr>
                <w:rFonts w:ascii="Times New Roman" w:eastAsia="Times New Roman" w:hAnsi="Times New Roman"/>
                <w:sz w:val="24"/>
                <w:szCs w:val="24"/>
              </w:rPr>
            </w:pPr>
            <w:r>
              <w:rPr>
                <w:rFonts w:ascii="Times New Roman" w:eastAsia="Times New Roman" w:hAnsi="Times New Roman"/>
                <w:sz w:val="24"/>
                <w:szCs w:val="24"/>
              </w:rPr>
              <w:t>Program/Department Closing the Loop process:</w:t>
            </w:r>
          </w:p>
          <w:p w:rsidR="00923CE7" w:rsidRDefault="00616656">
            <w:pPr>
              <w:rPr>
                <w:rFonts w:ascii="Times New Roman" w:eastAsia="Times New Roman" w:hAnsi="Times New Roman"/>
                <w:sz w:val="24"/>
                <w:szCs w:val="24"/>
              </w:rPr>
            </w:pPr>
            <w:r>
              <w:rPr>
                <w:rFonts w:ascii="Times New Roman" w:eastAsia="Times New Roman" w:hAnsi="Times New Roman"/>
                <w:sz w:val="24"/>
                <w:szCs w:val="24"/>
              </w:rPr>
              <w:t xml:space="preserve">The members of the Assessment Committee, which consists of the CRIM, FBS, and graduate program assessment coordinators and full-time faculty member volunteers, are responsible for designing and carrying out assessment activities with the help of the entire faculty as needed. The Assessment Committee also analyzes the resulting data and suggests changes to the program as necessary. Assessment data and suggested program changes </w:t>
            </w:r>
            <w:proofErr w:type="gramStart"/>
            <w:r>
              <w:rPr>
                <w:rFonts w:ascii="Times New Roman" w:eastAsia="Times New Roman" w:hAnsi="Times New Roman"/>
                <w:sz w:val="24"/>
                <w:szCs w:val="24"/>
              </w:rPr>
              <w:t>will be presented</w:t>
            </w:r>
            <w:proofErr w:type="gramEnd"/>
            <w:r>
              <w:rPr>
                <w:rFonts w:ascii="Times New Roman" w:eastAsia="Times New Roman" w:hAnsi="Times New Roman"/>
                <w:sz w:val="24"/>
                <w:szCs w:val="24"/>
              </w:rPr>
              <w:t xml:space="preserve"> to the entire faculty in the monthly faculty meeting, and the entire faculty decides whether to implement any changes. Further discussions could be carried out at the Department retreat (</w:t>
            </w:r>
            <w:proofErr w:type="gramStart"/>
            <w:r>
              <w:rPr>
                <w:rFonts w:ascii="Times New Roman" w:eastAsia="Times New Roman" w:hAnsi="Times New Roman"/>
                <w:sz w:val="24"/>
                <w:szCs w:val="24"/>
              </w:rPr>
              <w:t>if and when</w:t>
            </w:r>
            <w:proofErr w:type="gramEnd"/>
            <w:r>
              <w:rPr>
                <w:rFonts w:ascii="Times New Roman" w:eastAsia="Times New Roman" w:hAnsi="Times New Roman"/>
                <w:sz w:val="24"/>
                <w:szCs w:val="24"/>
              </w:rPr>
              <w:t xml:space="preserve"> held). </w:t>
            </w:r>
          </w:p>
        </w:tc>
      </w:tr>
    </w:tbl>
    <w:p w:rsidR="00923CE7" w:rsidRDefault="00923CE7">
      <w:pPr>
        <w:rPr>
          <w:rFonts w:ascii="Times New Roman" w:eastAsia="Times New Roman" w:hAnsi="Times New Roman"/>
          <w:sz w:val="24"/>
          <w:szCs w:val="24"/>
        </w:rPr>
      </w:pPr>
    </w:p>
    <w:sectPr w:rsidR="00923CE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A0" w:rsidRDefault="003625A0">
      <w:pPr>
        <w:spacing w:after="0" w:line="240" w:lineRule="auto"/>
      </w:pPr>
      <w:r>
        <w:separator/>
      </w:r>
    </w:p>
  </w:endnote>
  <w:endnote w:type="continuationSeparator" w:id="0">
    <w:p w:rsidR="003625A0" w:rsidRDefault="0036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E7" w:rsidRDefault="00616656">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 xml:space="preserve">12/11/2020 - page </w:t>
    </w:r>
    <w:r>
      <w:rPr>
        <w:rFonts w:cs="Calibri"/>
        <w:color w:val="000000"/>
      </w:rPr>
      <w:fldChar w:fldCharType="begin"/>
    </w:r>
    <w:r>
      <w:rPr>
        <w:rFonts w:cs="Calibri"/>
        <w:color w:val="000000"/>
      </w:rPr>
      <w:instrText>PAGE</w:instrText>
    </w:r>
    <w:r>
      <w:rPr>
        <w:rFonts w:cs="Calibri"/>
        <w:color w:val="000000"/>
      </w:rPr>
      <w:fldChar w:fldCharType="separate"/>
    </w:r>
    <w:r w:rsidR="00E8567E">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A0" w:rsidRDefault="003625A0">
      <w:pPr>
        <w:spacing w:after="0" w:line="240" w:lineRule="auto"/>
      </w:pPr>
      <w:r>
        <w:separator/>
      </w:r>
    </w:p>
  </w:footnote>
  <w:footnote w:type="continuationSeparator" w:id="0">
    <w:p w:rsidR="003625A0" w:rsidRDefault="0036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2A5A"/>
    <w:multiLevelType w:val="multilevel"/>
    <w:tmpl w:val="E8F242B0"/>
    <w:lvl w:ilvl="0">
      <w:start w:val="1"/>
      <w:numFmt w:val="upperRoman"/>
      <w:pStyle w:val="Heading2"/>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E7"/>
    <w:rsid w:val="000F290D"/>
    <w:rsid w:val="001240EB"/>
    <w:rsid w:val="003625A0"/>
    <w:rsid w:val="00616656"/>
    <w:rsid w:val="00923CE7"/>
    <w:rsid w:val="00E8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BA73"/>
  <w15:docId w15:val="{4351C210-B947-4BB2-ADF4-D40FFD21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539E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TBHwgkHoy2TQ1M1WI2/efCTtQ==">AMUW2mU1vNzTKVAcLqyxXW22aJrzTyKWHek96g1dQVyceZSD2w1wNdXol5C0AT56POl31/N/fWtXrJYXgDtgtLYdR/D5ZjR3iJwvVxw/KCVHGK7LmIfiLSw=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3</cp:revision>
  <dcterms:created xsi:type="dcterms:W3CDTF">2021-07-20T18:54:00Z</dcterms:created>
  <dcterms:modified xsi:type="dcterms:W3CDTF">2021-07-20T18:54:00Z</dcterms:modified>
</cp:coreProperties>
</file>