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095"/>
        <w:tblW w:w="13192" w:type="dxa"/>
        <w:tblLook w:val="04A0"/>
      </w:tblPr>
      <w:tblGrid>
        <w:gridCol w:w="4397"/>
        <w:gridCol w:w="2199"/>
        <w:gridCol w:w="2199"/>
        <w:gridCol w:w="4397"/>
      </w:tblGrid>
      <w:tr w:rsidR="006B0CE1" w:rsidTr="003E7A07">
        <w:trPr>
          <w:trHeight w:val="566"/>
        </w:trPr>
        <w:tc>
          <w:tcPr>
            <w:tcW w:w="4397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  <w:p w:rsidR="003E7A07" w:rsidRDefault="003E7A07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2199" w:type="dxa"/>
          </w:tcPr>
          <w:p w:rsidR="006B0CE1" w:rsidRDefault="006B0CE1" w:rsidP="003E7A07">
            <w:pPr>
              <w:tabs>
                <w:tab w:val="center" w:pos="2088"/>
              </w:tabs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True</w:t>
            </w:r>
            <w:r>
              <w:rPr>
                <w:rFonts w:ascii="Frutiger-BoldCn" w:hAnsi="Frutiger-BoldCn" w:cs="Frutiger-BoldCn"/>
                <w:b/>
                <w:bCs/>
              </w:rPr>
              <w:tab/>
            </w:r>
          </w:p>
        </w:tc>
        <w:tc>
          <w:tcPr>
            <w:tcW w:w="2199" w:type="dxa"/>
          </w:tcPr>
          <w:p w:rsidR="006B0CE1" w:rsidRDefault="006B0CE1" w:rsidP="003E7A07">
            <w:pPr>
              <w:tabs>
                <w:tab w:val="center" w:pos="2088"/>
              </w:tabs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False</w:t>
            </w:r>
          </w:p>
        </w:tc>
        <w:tc>
          <w:tcPr>
            <w:tcW w:w="4397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Don’t Know</w:t>
            </w:r>
          </w:p>
        </w:tc>
      </w:tr>
      <w:tr w:rsidR="006B0CE1" w:rsidTr="003E7A07">
        <w:trPr>
          <w:trHeight w:val="583"/>
        </w:trPr>
        <w:tc>
          <w:tcPr>
            <w:tcW w:w="4397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 xml:space="preserve">1. </w:t>
            </w:r>
            <w:r>
              <w:rPr>
                <w:rFonts w:ascii="Frutiger-LightCn" w:hAnsi="Frutiger-LightCn" w:cs="Frutiger-LightCn"/>
              </w:rPr>
              <w:t xml:space="preserve">Disability insurance and long term care (LTC) insurance </w:t>
            </w:r>
            <w:proofErr w:type="gramStart"/>
            <w:r>
              <w:rPr>
                <w:rFonts w:ascii="Frutiger-LightCn" w:hAnsi="Frutiger-LightCn" w:cs="Frutiger-LightCn"/>
              </w:rPr>
              <w:t>cover</w:t>
            </w:r>
            <w:proofErr w:type="gramEnd"/>
            <w:r>
              <w:rPr>
                <w:rFonts w:ascii="Frutiger-LightCn" w:hAnsi="Frutiger-LightCn" w:cs="Frutiger-LightCn"/>
              </w:rPr>
              <w:t xml:space="preserve"> the same things.</w:t>
            </w:r>
          </w:p>
        </w:tc>
        <w:tc>
          <w:tcPr>
            <w:tcW w:w="2199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2199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4397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</w:tr>
      <w:tr w:rsidR="006B0CE1" w:rsidTr="003E7A07">
        <w:trPr>
          <w:trHeight w:val="857"/>
        </w:trPr>
        <w:tc>
          <w:tcPr>
            <w:tcW w:w="4397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LightCn" w:hAnsi="Frutiger-LightCn" w:cs="Frutiger-LightCn"/>
              </w:rPr>
            </w:pPr>
            <w:r>
              <w:rPr>
                <w:rFonts w:ascii="Frutiger-BoldCn" w:hAnsi="Frutiger-BoldCn" w:cs="Frutiger-BoldCn"/>
                <w:b/>
                <w:bCs/>
              </w:rPr>
              <w:t xml:space="preserve">2. </w:t>
            </w:r>
            <w:r>
              <w:rPr>
                <w:rFonts w:ascii="Frutiger-LightCn" w:hAnsi="Frutiger-LightCn" w:cs="Frutiger-LightCn"/>
              </w:rPr>
              <w:t>The average lifetime chance of needing long term care for an individual 65 years or</w:t>
            </w:r>
          </w:p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proofErr w:type="gramStart"/>
            <w:r>
              <w:rPr>
                <w:rFonts w:ascii="Frutiger-LightCn" w:hAnsi="Frutiger-LightCn" w:cs="Frutiger-LightCn"/>
              </w:rPr>
              <w:t>older</w:t>
            </w:r>
            <w:proofErr w:type="gramEnd"/>
            <w:r>
              <w:rPr>
                <w:rFonts w:ascii="Frutiger-LightCn" w:hAnsi="Frutiger-LightCn" w:cs="Frutiger-LightCn"/>
              </w:rPr>
              <w:t xml:space="preserve"> is more than 40%.</w:t>
            </w:r>
          </w:p>
        </w:tc>
        <w:tc>
          <w:tcPr>
            <w:tcW w:w="2199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2199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4397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</w:tr>
      <w:tr w:rsidR="006B0CE1" w:rsidTr="003E7A07">
        <w:trPr>
          <w:trHeight w:val="566"/>
        </w:trPr>
        <w:tc>
          <w:tcPr>
            <w:tcW w:w="4397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 xml:space="preserve">3. </w:t>
            </w:r>
            <w:r>
              <w:rPr>
                <w:rFonts w:ascii="Frutiger-LightCn" w:hAnsi="Frutiger-LightCn" w:cs="Frutiger-LightCn"/>
              </w:rPr>
              <w:t>People have to spend all or almost all of their assets to get Medicaid benefits.</w:t>
            </w:r>
            <w:r>
              <w:rPr>
                <w:rFonts w:ascii="Frutiger-BoldCn" w:hAnsi="Frutiger-BoldCn" w:cs="Frutiger-BoldCn"/>
                <w:b/>
                <w:bCs/>
              </w:rPr>
              <w:t xml:space="preserve"> </w:t>
            </w:r>
          </w:p>
        </w:tc>
        <w:tc>
          <w:tcPr>
            <w:tcW w:w="2199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2199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4397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</w:tr>
      <w:tr w:rsidR="006B0CE1" w:rsidTr="003E7A07">
        <w:trPr>
          <w:trHeight w:val="857"/>
        </w:trPr>
        <w:tc>
          <w:tcPr>
            <w:tcW w:w="4397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 xml:space="preserve">4. </w:t>
            </w:r>
            <w:r>
              <w:rPr>
                <w:rFonts w:ascii="Frutiger-LightCn" w:hAnsi="Frutiger-LightCn" w:cs="Frutiger-LightCn"/>
              </w:rPr>
              <w:t>Medicare is not the primary funding source for most seniors’ long term care costs.</w:t>
            </w:r>
            <w:r>
              <w:rPr>
                <w:rFonts w:ascii="Frutiger-BoldCn" w:hAnsi="Frutiger-BoldCn" w:cs="Frutiger-BoldCn"/>
                <w:b/>
                <w:bCs/>
              </w:rPr>
              <w:t xml:space="preserve"> </w:t>
            </w:r>
          </w:p>
        </w:tc>
        <w:tc>
          <w:tcPr>
            <w:tcW w:w="2199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2199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4397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</w:tr>
      <w:tr w:rsidR="006B0CE1" w:rsidTr="003E7A07">
        <w:trPr>
          <w:trHeight w:val="566"/>
        </w:trPr>
        <w:tc>
          <w:tcPr>
            <w:tcW w:w="4397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 xml:space="preserve">5. </w:t>
            </w:r>
            <w:r>
              <w:rPr>
                <w:rFonts w:ascii="Frutiger-LightCn" w:hAnsi="Frutiger-LightCn" w:cs="Frutiger-LightCn"/>
              </w:rPr>
              <w:t>Most long term care is provided in a nursing home.</w:t>
            </w:r>
          </w:p>
        </w:tc>
        <w:tc>
          <w:tcPr>
            <w:tcW w:w="2199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2199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4397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</w:tr>
      <w:tr w:rsidR="006B0CE1" w:rsidTr="003E7A07">
        <w:trPr>
          <w:trHeight w:val="583"/>
        </w:trPr>
        <w:tc>
          <w:tcPr>
            <w:tcW w:w="4397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 xml:space="preserve">6. </w:t>
            </w:r>
            <w:r>
              <w:rPr>
                <w:rFonts w:ascii="Frutiger-LightCn" w:hAnsi="Frutiger-LightCn" w:cs="Frutiger-LightCn"/>
              </w:rPr>
              <w:t>Medicaid covers long term care services received at home.</w:t>
            </w:r>
          </w:p>
        </w:tc>
        <w:tc>
          <w:tcPr>
            <w:tcW w:w="2199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2199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4397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</w:tr>
      <w:tr w:rsidR="006B0CE1" w:rsidTr="003E7A07">
        <w:trPr>
          <w:trHeight w:val="566"/>
        </w:trPr>
        <w:tc>
          <w:tcPr>
            <w:tcW w:w="4397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 xml:space="preserve">7. </w:t>
            </w:r>
            <w:r>
              <w:rPr>
                <w:rFonts w:ascii="Frutiger-LightCn" w:hAnsi="Frutiger-LightCn" w:cs="Frutiger-LightCn"/>
              </w:rPr>
              <w:t>Nursing home expenses for Alzheimer’s Disease patients are covered by Medicare.</w:t>
            </w:r>
          </w:p>
        </w:tc>
        <w:tc>
          <w:tcPr>
            <w:tcW w:w="2199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2199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4397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</w:tr>
      <w:tr w:rsidR="006B0CE1" w:rsidTr="003E7A07">
        <w:trPr>
          <w:trHeight w:val="583"/>
        </w:trPr>
        <w:tc>
          <w:tcPr>
            <w:tcW w:w="4397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 xml:space="preserve">8. </w:t>
            </w:r>
            <w:r>
              <w:rPr>
                <w:rFonts w:ascii="Frutiger-LightCn" w:hAnsi="Frutiger-LightCn" w:cs="Frutiger-LightCn"/>
              </w:rPr>
              <w:t>The average length of stay in a nursing home is more than four years.</w:t>
            </w:r>
          </w:p>
        </w:tc>
        <w:tc>
          <w:tcPr>
            <w:tcW w:w="2199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2199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4397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</w:tr>
      <w:tr w:rsidR="006B0CE1" w:rsidTr="003E7A07">
        <w:trPr>
          <w:trHeight w:val="566"/>
        </w:trPr>
        <w:tc>
          <w:tcPr>
            <w:tcW w:w="4397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 xml:space="preserve">9. </w:t>
            </w:r>
            <w:r>
              <w:rPr>
                <w:rFonts w:ascii="Frutiger-LightCn" w:hAnsi="Frutiger-LightCn" w:cs="Frutiger-LightCn"/>
              </w:rPr>
              <w:t>Nearly 40% of the long term care population is under the age of 65.</w:t>
            </w:r>
          </w:p>
        </w:tc>
        <w:tc>
          <w:tcPr>
            <w:tcW w:w="2199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2199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4397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</w:tr>
      <w:tr w:rsidR="006B0CE1" w:rsidTr="003E7A07">
        <w:trPr>
          <w:trHeight w:val="583"/>
        </w:trPr>
        <w:tc>
          <w:tcPr>
            <w:tcW w:w="4397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 xml:space="preserve">10. </w:t>
            </w:r>
            <w:r>
              <w:rPr>
                <w:rFonts w:ascii="Frutiger-LightCn" w:hAnsi="Frutiger-LightCn" w:cs="Frutiger-LightCn"/>
              </w:rPr>
              <w:t>On average, a one-year stay in a nursing home costs about $30,000</w:t>
            </w:r>
          </w:p>
        </w:tc>
        <w:tc>
          <w:tcPr>
            <w:tcW w:w="2199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2199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4397" w:type="dxa"/>
          </w:tcPr>
          <w:p w:rsidR="006B0CE1" w:rsidRDefault="006B0CE1" w:rsidP="003E7A07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</w:tr>
    </w:tbl>
    <w:p w:rsidR="006B0CE1" w:rsidRDefault="003E7A07" w:rsidP="006B0CE1">
      <w:pPr>
        <w:rPr>
          <w:rFonts w:ascii="Frutiger-LightCn" w:hAnsi="Frutiger-LightCn" w:cs="Frutiger-LightCn"/>
        </w:rPr>
      </w:pPr>
      <w:r>
        <w:rPr>
          <w:rFonts w:ascii="Frutiger-LightCn" w:hAnsi="Frutiger-LightCn" w:cs="Frutiger-LightCn"/>
        </w:rPr>
        <w:t>LONG-TERM CARE QUIZ</w:t>
      </w:r>
    </w:p>
    <w:p w:rsidR="006B0CE1" w:rsidRDefault="006B0CE1">
      <w:pPr>
        <w:rPr>
          <w:rFonts w:ascii="Frutiger-LightCn" w:hAnsi="Frutiger-LightCn" w:cs="Frutiger-LightCn"/>
        </w:rPr>
      </w:pPr>
      <w:r>
        <w:rPr>
          <w:rFonts w:ascii="Frutiger-LightCn" w:hAnsi="Frutiger-LightCn" w:cs="Frutiger-LightCn"/>
        </w:rPr>
        <w:br w:type="page"/>
      </w:r>
    </w:p>
    <w:p w:rsidR="006B0CE1" w:rsidRDefault="006B0CE1" w:rsidP="006B0CE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7"/>
          <w:szCs w:val="19"/>
        </w:rPr>
      </w:pPr>
      <w:r>
        <w:rPr>
          <w:rFonts w:ascii="Frutiger-BoldCn" w:hAnsi="Frutiger-BoldCn" w:cs="Frutiger-BoldCn"/>
          <w:b/>
          <w:bCs/>
          <w:sz w:val="27"/>
          <w:szCs w:val="19"/>
        </w:rPr>
        <w:lastRenderedPageBreak/>
        <w:t>LTC QUIZ ANSWERS</w:t>
      </w:r>
    </w:p>
    <w:p w:rsidR="006B0CE1" w:rsidRPr="00FD3771" w:rsidRDefault="006B0CE1" w:rsidP="006B0CE1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27"/>
          <w:szCs w:val="19"/>
        </w:rPr>
      </w:pPr>
      <w:r w:rsidRPr="006B0CE1">
        <w:rPr>
          <w:rFonts w:ascii="Frutiger-BoldCn" w:hAnsi="Frutiger-BoldCn" w:cs="Frutiger-BoldCn"/>
          <w:b/>
          <w:bCs/>
          <w:sz w:val="27"/>
          <w:szCs w:val="19"/>
        </w:rPr>
        <w:t>1.</w:t>
      </w:r>
      <w:r w:rsidR="00FD3771">
        <w:rPr>
          <w:rFonts w:ascii="Frutiger-BoldCn" w:hAnsi="Frutiger-BoldCn" w:cs="Frutiger-BoldCn"/>
          <w:b/>
          <w:bCs/>
          <w:sz w:val="27"/>
          <w:szCs w:val="19"/>
        </w:rPr>
        <w:t xml:space="preserve"> </w:t>
      </w:r>
      <w:r w:rsidRPr="006B0CE1">
        <w:rPr>
          <w:rFonts w:ascii="Frutiger-Cn" w:hAnsi="Frutiger-Cn" w:cs="Frutiger-Cn"/>
          <w:sz w:val="27"/>
          <w:szCs w:val="19"/>
        </w:rPr>
        <w:t xml:space="preserve">Disability insurance and LTC insurance cover the same things. </w:t>
      </w:r>
      <w:proofErr w:type="gramStart"/>
      <w:r w:rsidRPr="006B0CE1">
        <w:rPr>
          <w:rFonts w:ascii="Frutiger-BoldCn" w:hAnsi="Frutiger-BoldCn" w:cs="Frutiger-BoldCn"/>
          <w:b/>
          <w:bCs/>
          <w:sz w:val="27"/>
          <w:szCs w:val="19"/>
        </w:rPr>
        <w:t>False.</w:t>
      </w:r>
      <w:proofErr w:type="gramEnd"/>
      <w:r w:rsidRPr="006B0CE1">
        <w:rPr>
          <w:rFonts w:ascii="Frutiger-BoldCn" w:hAnsi="Frutiger-BoldCn" w:cs="Frutiger-BoldCn"/>
          <w:b/>
          <w:bCs/>
          <w:sz w:val="27"/>
          <w:szCs w:val="19"/>
        </w:rPr>
        <w:t xml:space="preserve"> </w:t>
      </w:r>
      <w:r w:rsidRPr="006B0CE1">
        <w:rPr>
          <w:rFonts w:ascii="Frutiger-LightCn" w:hAnsi="Frutiger-LightCn" w:cs="Frutiger-LightCn"/>
          <w:sz w:val="27"/>
          <w:szCs w:val="19"/>
        </w:rPr>
        <w:t>Disability insurance provides you with income if you become</w:t>
      </w:r>
      <w:r w:rsidR="00FD3771">
        <w:rPr>
          <w:rFonts w:ascii="Frutiger-LightCn" w:hAnsi="Frutiger-LightCn" w:cs="Frutiger-LightCn"/>
          <w:sz w:val="27"/>
          <w:szCs w:val="19"/>
        </w:rPr>
        <w:t xml:space="preserve"> </w:t>
      </w:r>
      <w:r w:rsidRPr="006B0CE1">
        <w:rPr>
          <w:rFonts w:ascii="Frutiger-LightCn" w:hAnsi="Frutiger-LightCn" w:cs="Frutiger-LightCn"/>
          <w:sz w:val="27"/>
          <w:szCs w:val="19"/>
        </w:rPr>
        <w:t>sick or injured and are unable to work. It is not designed to cover LTC expenses.</w:t>
      </w:r>
    </w:p>
    <w:p w:rsidR="006B0CE1" w:rsidRPr="006B0CE1" w:rsidRDefault="006B0CE1" w:rsidP="006B0CE1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20"/>
          <w:szCs w:val="10"/>
        </w:rPr>
      </w:pPr>
      <w:r w:rsidRPr="006B0CE1">
        <w:rPr>
          <w:rFonts w:ascii="Frutiger-BoldCn" w:hAnsi="Frutiger-BoldCn" w:cs="Frutiger-BoldCn"/>
          <w:b/>
          <w:bCs/>
          <w:sz w:val="27"/>
          <w:szCs w:val="19"/>
        </w:rPr>
        <w:t>2.</w:t>
      </w:r>
      <w:r w:rsidR="00FD3771">
        <w:rPr>
          <w:rFonts w:ascii="Frutiger-BoldCn" w:hAnsi="Frutiger-BoldCn" w:cs="Frutiger-BoldCn"/>
          <w:b/>
          <w:bCs/>
          <w:sz w:val="27"/>
          <w:szCs w:val="19"/>
        </w:rPr>
        <w:t xml:space="preserve"> </w:t>
      </w:r>
      <w:r w:rsidRPr="006B0CE1">
        <w:rPr>
          <w:rFonts w:ascii="Frutiger-Cn" w:hAnsi="Frutiger-Cn" w:cs="Frutiger-Cn"/>
          <w:sz w:val="27"/>
          <w:szCs w:val="19"/>
        </w:rPr>
        <w:t xml:space="preserve">The average lifetime chance of needing long term care for an individual 65 years or older is more than 40%. </w:t>
      </w:r>
      <w:r w:rsidRPr="006B0CE1">
        <w:rPr>
          <w:rFonts w:ascii="Frutiger-BoldCn" w:hAnsi="Frutiger-BoldCn" w:cs="Frutiger-BoldCn"/>
          <w:b/>
          <w:bCs/>
          <w:sz w:val="27"/>
          <w:szCs w:val="19"/>
        </w:rPr>
        <w:t xml:space="preserve">True. </w:t>
      </w:r>
      <w:r w:rsidRPr="006B0CE1">
        <w:rPr>
          <w:rFonts w:ascii="Frutiger-LightCn" w:hAnsi="Frutiger-LightCn" w:cs="Frutiger-LightCn"/>
          <w:sz w:val="27"/>
          <w:szCs w:val="19"/>
        </w:rPr>
        <w:t>It is estimated that approximately 49% of people turning 65 will need LTC at some point in their lives, and that approximately 72% will use home care services.</w:t>
      </w:r>
    </w:p>
    <w:p w:rsidR="006B0CE1" w:rsidRPr="006B0CE1" w:rsidRDefault="006B0CE1" w:rsidP="006B0CE1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20"/>
          <w:szCs w:val="10"/>
        </w:rPr>
      </w:pPr>
      <w:r w:rsidRPr="006B0CE1">
        <w:rPr>
          <w:rFonts w:ascii="Frutiger-BoldCn" w:hAnsi="Frutiger-BoldCn" w:cs="Frutiger-BoldCn"/>
          <w:b/>
          <w:bCs/>
          <w:sz w:val="27"/>
          <w:szCs w:val="19"/>
        </w:rPr>
        <w:t>3.</w:t>
      </w:r>
      <w:r w:rsidR="00FD3771">
        <w:rPr>
          <w:rFonts w:ascii="Frutiger-BoldCn" w:hAnsi="Frutiger-BoldCn" w:cs="Frutiger-BoldCn"/>
          <w:b/>
          <w:bCs/>
          <w:sz w:val="27"/>
          <w:szCs w:val="19"/>
        </w:rPr>
        <w:t xml:space="preserve"> </w:t>
      </w:r>
      <w:r w:rsidRPr="006B0CE1">
        <w:rPr>
          <w:rFonts w:ascii="Frutiger-Cn" w:hAnsi="Frutiger-Cn" w:cs="Frutiger-Cn"/>
          <w:sz w:val="27"/>
          <w:szCs w:val="19"/>
        </w:rPr>
        <w:t xml:space="preserve">People have to spend all or almost all of their assets to get Medicaid benefits. </w:t>
      </w:r>
      <w:r w:rsidRPr="006B0CE1">
        <w:rPr>
          <w:rFonts w:ascii="Frutiger-BoldCn" w:hAnsi="Frutiger-BoldCn" w:cs="Frutiger-BoldCn"/>
          <w:b/>
          <w:bCs/>
          <w:sz w:val="27"/>
          <w:szCs w:val="19"/>
        </w:rPr>
        <w:t xml:space="preserve">True. </w:t>
      </w:r>
      <w:r w:rsidRPr="006B0CE1">
        <w:rPr>
          <w:rFonts w:ascii="Frutiger-LightCn" w:hAnsi="Frutiger-LightCn" w:cs="Frutiger-LightCn"/>
          <w:sz w:val="27"/>
          <w:szCs w:val="19"/>
        </w:rPr>
        <w:t>While the maximum level of assets you’re allowed to keep varies</w:t>
      </w:r>
      <w:r>
        <w:rPr>
          <w:rFonts w:ascii="Frutiger-LightCn" w:hAnsi="Frutiger-LightCn" w:cs="Frutiger-LightCn"/>
          <w:sz w:val="27"/>
          <w:szCs w:val="19"/>
        </w:rPr>
        <w:t xml:space="preserve"> </w:t>
      </w:r>
      <w:r w:rsidRPr="006B0CE1">
        <w:rPr>
          <w:rFonts w:ascii="Frutiger-LightCn" w:hAnsi="Frutiger-LightCn" w:cs="Frutiger-LightCn"/>
          <w:sz w:val="27"/>
          <w:szCs w:val="19"/>
        </w:rPr>
        <w:t>from state to state, people are required to spend down assets to a significantly low level before they can qualify for Medicaid benefits.</w:t>
      </w:r>
    </w:p>
    <w:p w:rsidR="006B0CE1" w:rsidRPr="006B0CE1" w:rsidRDefault="006B0CE1" w:rsidP="006B0CE1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27"/>
          <w:szCs w:val="19"/>
        </w:rPr>
      </w:pPr>
      <w:r w:rsidRPr="006B0CE1">
        <w:rPr>
          <w:rFonts w:ascii="Frutiger-BoldCn" w:hAnsi="Frutiger-BoldCn" w:cs="Frutiger-BoldCn"/>
          <w:b/>
          <w:bCs/>
          <w:sz w:val="27"/>
          <w:szCs w:val="19"/>
        </w:rPr>
        <w:t>4.</w:t>
      </w:r>
      <w:r w:rsidR="00FD3771">
        <w:rPr>
          <w:rFonts w:ascii="Frutiger-BoldCn" w:hAnsi="Frutiger-BoldCn" w:cs="Frutiger-BoldCn"/>
          <w:b/>
          <w:bCs/>
          <w:sz w:val="27"/>
          <w:szCs w:val="19"/>
        </w:rPr>
        <w:t xml:space="preserve"> </w:t>
      </w:r>
      <w:r w:rsidRPr="006B0CE1">
        <w:rPr>
          <w:rFonts w:ascii="Frutiger-Cn" w:hAnsi="Frutiger-Cn" w:cs="Frutiger-Cn"/>
          <w:sz w:val="27"/>
          <w:szCs w:val="19"/>
        </w:rPr>
        <w:t xml:space="preserve">Medicare is not the primary funding source for most seniors’ long term care costs. </w:t>
      </w:r>
      <w:r w:rsidRPr="006B0CE1">
        <w:rPr>
          <w:rFonts w:ascii="Frutiger-BoldCn" w:hAnsi="Frutiger-BoldCn" w:cs="Frutiger-BoldCn"/>
          <w:b/>
          <w:bCs/>
          <w:sz w:val="27"/>
          <w:szCs w:val="19"/>
        </w:rPr>
        <w:t xml:space="preserve">True. </w:t>
      </w:r>
      <w:r w:rsidRPr="006B0CE1">
        <w:rPr>
          <w:rFonts w:ascii="Frutiger-LightCn" w:hAnsi="Frutiger-LightCn" w:cs="Frutiger-LightCn"/>
          <w:sz w:val="27"/>
          <w:szCs w:val="19"/>
        </w:rPr>
        <w:t>Medicare spending accounted for 16% of total LTC expenditures in 2004. While Medicare primarily covers acute care, it pays for limited stays in post-acute skilled nursing care facilities and home health care.</w:t>
      </w:r>
    </w:p>
    <w:p w:rsidR="006B0CE1" w:rsidRPr="006B0CE1" w:rsidRDefault="006B0CE1" w:rsidP="006B0CE1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20"/>
          <w:szCs w:val="10"/>
        </w:rPr>
      </w:pPr>
      <w:r w:rsidRPr="006B0CE1">
        <w:rPr>
          <w:rFonts w:ascii="Frutiger-BoldCn" w:hAnsi="Frutiger-BoldCn" w:cs="Frutiger-BoldCn"/>
          <w:b/>
          <w:bCs/>
          <w:sz w:val="27"/>
          <w:szCs w:val="19"/>
        </w:rPr>
        <w:t>5.</w:t>
      </w:r>
      <w:r w:rsidR="00FD3771">
        <w:rPr>
          <w:rFonts w:ascii="Frutiger-BoldCn" w:hAnsi="Frutiger-BoldCn" w:cs="Frutiger-BoldCn"/>
          <w:b/>
          <w:bCs/>
          <w:sz w:val="27"/>
          <w:szCs w:val="19"/>
        </w:rPr>
        <w:t xml:space="preserve"> </w:t>
      </w:r>
      <w:r w:rsidRPr="006B0CE1">
        <w:rPr>
          <w:rFonts w:ascii="Frutiger-Cn" w:hAnsi="Frutiger-Cn" w:cs="Frutiger-Cn"/>
          <w:sz w:val="27"/>
          <w:szCs w:val="19"/>
        </w:rPr>
        <w:t xml:space="preserve">Most long term care is provided in a nursing home. </w:t>
      </w:r>
      <w:proofErr w:type="gramStart"/>
      <w:r w:rsidRPr="006B0CE1">
        <w:rPr>
          <w:rFonts w:ascii="Frutiger-BoldCn" w:hAnsi="Frutiger-BoldCn" w:cs="Frutiger-BoldCn"/>
          <w:b/>
          <w:bCs/>
          <w:sz w:val="27"/>
          <w:szCs w:val="19"/>
        </w:rPr>
        <w:t>False.</w:t>
      </w:r>
      <w:proofErr w:type="gramEnd"/>
      <w:r w:rsidRPr="006B0CE1">
        <w:rPr>
          <w:rFonts w:ascii="Frutiger-BoldCn" w:hAnsi="Frutiger-BoldCn" w:cs="Frutiger-BoldCn"/>
          <w:b/>
          <w:bCs/>
          <w:sz w:val="27"/>
          <w:szCs w:val="19"/>
        </w:rPr>
        <w:t xml:space="preserve"> </w:t>
      </w:r>
      <w:r w:rsidRPr="006B0CE1">
        <w:rPr>
          <w:rFonts w:ascii="Frutiger-LightCn" w:hAnsi="Frutiger-LightCn" w:cs="Frutiger-LightCn"/>
          <w:sz w:val="27"/>
          <w:szCs w:val="19"/>
        </w:rPr>
        <w:t>Most LTC is not provided in nursing homes. 80% of older</w:t>
      </w:r>
      <w:r w:rsidRPr="006B0CE1">
        <w:rPr>
          <w:rFonts w:ascii="Frutiger-Cn" w:hAnsi="Frutiger-Cn" w:cs="Frutiger-Cn"/>
          <w:sz w:val="27"/>
          <w:szCs w:val="19"/>
        </w:rPr>
        <w:t xml:space="preserve"> </w:t>
      </w:r>
      <w:r w:rsidRPr="006B0CE1">
        <w:rPr>
          <w:rFonts w:ascii="Frutiger-LightCn" w:hAnsi="Frutiger-LightCn" w:cs="Frutiger-LightCn"/>
          <w:sz w:val="27"/>
          <w:szCs w:val="19"/>
        </w:rPr>
        <w:t>adults who receive LTC do so in their own homes or community settings.</w:t>
      </w:r>
    </w:p>
    <w:p w:rsidR="006B0CE1" w:rsidRPr="006B0CE1" w:rsidRDefault="006B0CE1" w:rsidP="006B0CE1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20"/>
          <w:szCs w:val="10"/>
        </w:rPr>
      </w:pPr>
      <w:r w:rsidRPr="006B0CE1">
        <w:rPr>
          <w:rFonts w:ascii="Frutiger-Bold" w:hAnsi="Frutiger-Bold" w:cs="Frutiger-Bold"/>
          <w:b/>
          <w:bCs/>
          <w:sz w:val="27"/>
          <w:szCs w:val="19"/>
        </w:rPr>
        <w:t>6.</w:t>
      </w:r>
      <w:r w:rsidR="00FD3771">
        <w:rPr>
          <w:rFonts w:ascii="Frutiger-Bold" w:hAnsi="Frutiger-Bold" w:cs="Frutiger-Bold"/>
          <w:b/>
          <w:bCs/>
          <w:sz w:val="27"/>
          <w:szCs w:val="19"/>
        </w:rPr>
        <w:t xml:space="preserve"> </w:t>
      </w:r>
      <w:r w:rsidRPr="006B0CE1">
        <w:rPr>
          <w:rFonts w:ascii="Frutiger-Cn" w:hAnsi="Frutiger-Cn" w:cs="Frutiger-Cn"/>
          <w:sz w:val="27"/>
          <w:szCs w:val="19"/>
        </w:rPr>
        <w:t xml:space="preserve">Medicaid covers long term care services received at home. </w:t>
      </w:r>
      <w:proofErr w:type="gramStart"/>
      <w:r w:rsidRPr="006B0CE1">
        <w:rPr>
          <w:rFonts w:ascii="Frutiger-BoldCn" w:hAnsi="Frutiger-BoldCn" w:cs="Frutiger-BoldCn"/>
          <w:b/>
          <w:bCs/>
          <w:sz w:val="27"/>
          <w:szCs w:val="19"/>
        </w:rPr>
        <w:t>False.</w:t>
      </w:r>
      <w:proofErr w:type="gramEnd"/>
      <w:r w:rsidRPr="006B0CE1">
        <w:rPr>
          <w:rFonts w:ascii="Frutiger-BoldCn" w:hAnsi="Frutiger-BoldCn" w:cs="Frutiger-BoldCn"/>
          <w:b/>
          <w:bCs/>
          <w:sz w:val="27"/>
          <w:szCs w:val="19"/>
        </w:rPr>
        <w:t xml:space="preserve"> </w:t>
      </w:r>
      <w:r w:rsidRPr="006B0CE1">
        <w:rPr>
          <w:rFonts w:ascii="Frutiger-LightCn" w:hAnsi="Frutiger-LightCn" w:cs="Frutiger-LightCn"/>
          <w:sz w:val="27"/>
          <w:szCs w:val="19"/>
        </w:rPr>
        <w:t>Medicaid primarily covers long term care services in nursing homes. In states where Medicaid does cover home-based long term care services, it is done on a limited basis.</w:t>
      </w:r>
    </w:p>
    <w:p w:rsidR="006B0CE1" w:rsidRPr="006B0CE1" w:rsidRDefault="006B0CE1" w:rsidP="006B0CE1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20"/>
          <w:szCs w:val="10"/>
        </w:rPr>
      </w:pPr>
      <w:r w:rsidRPr="006B0CE1">
        <w:rPr>
          <w:rFonts w:ascii="Frutiger-BoldCn" w:hAnsi="Frutiger-BoldCn" w:cs="Frutiger-BoldCn"/>
          <w:b/>
          <w:bCs/>
          <w:sz w:val="27"/>
          <w:szCs w:val="19"/>
        </w:rPr>
        <w:t>7.</w:t>
      </w:r>
      <w:r w:rsidR="00FD3771">
        <w:rPr>
          <w:rFonts w:ascii="Frutiger-BoldCn" w:hAnsi="Frutiger-BoldCn" w:cs="Frutiger-BoldCn"/>
          <w:b/>
          <w:bCs/>
          <w:sz w:val="27"/>
          <w:szCs w:val="19"/>
        </w:rPr>
        <w:t xml:space="preserve"> </w:t>
      </w:r>
      <w:r w:rsidRPr="006B0CE1">
        <w:rPr>
          <w:rFonts w:ascii="Frutiger-Cn" w:hAnsi="Frutiger-Cn" w:cs="Frutiger-Cn"/>
          <w:sz w:val="27"/>
          <w:szCs w:val="19"/>
        </w:rPr>
        <w:t xml:space="preserve">Nursing home expenses for </w:t>
      </w:r>
      <w:proofErr w:type="gramStart"/>
      <w:r w:rsidRPr="006B0CE1">
        <w:rPr>
          <w:rFonts w:ascii="Frutiger-Cn" w:hAnsi="Frutiger-Cn" w:cs="Frutiger-Cn"/>
          <w:sz w:val="27"/>
          <w:szCs w:val="19"/>
        </w:rPr>
        <w:t>Alzheimer’s Disease</w:t>
      </w:r>
      <w:proofErr w:type="gramEnd"/>
      <w:r w:rsidRPr="006B0CE1">
        <w:rPr>
          <w:rFonts w:ascii="Frutiger-Cn" w:hAnsi="Frutiger-Cn" w:cs="Frutiger-Cn"/>
          <w:sz w:val="27"/>
          <w:szCs w:val="19"/>
        </w:rPr>
        <w:t xml:space="preserve"> patients are covered by Medicare.</w:t>
      </w:r>
      <w:r w:rsidR="00FD3771">
        <w:rPr>
          <w:rFonts w:ascii="Frutiger-Cn" w:hAnsi="Frutiger-Cn" w:cs="Frutiger-Cn"/>
          <w:sz w:val="27"/>
          <w:szCs w:val="19"/>
        </w:rPr>
        <w:t xml:space="preserve"> </w:t>
      </w:r>
      <w:proofErr w:type="gramStart"/>
      <w:r w:rsidRPr="006B0CE1">
        <w:rPr>
          <w:rFonts w:ascii="Frutiger-BoldCn" w:hAnsi="Frutiger-BoldCn" w:cs="Frutiger-BoldCn"/>
          <w:b/>
          <w:bCs/>
          <w:sz w:val="27"/>
          <w:szCs w:val="19"/>
        </w:rPr>
        <w:t>False.</w:t>
      </w:r>
      <w:proofErr w:type="gramEnd"/>
      <w:r w:rsidRPr="006B0CE1">
        <w:rPr>
          <w:rFonts w:ascii="Frutiger-BoldCn" w:hAnsi="Frutiger-BoldCn" w:cs="Frutiger-BoldCn"/>
          <w:b/>
          <w:bCs/>
          <w:sz w:val="27"/>
          <w:szCs w:val="19"/>
        </w:rPr>
        <w:t xml:space="preserve"> </w:t>
      </w:r>
      <w:r w:rsidRPr="006B0CE1">
        <w:rPr>
          <w:rFonts w:ascii="Frutiger-LightCn" w:hAnsi="Frutiger-LightCn" w:cs="Frutiger-LightCn"/>
          <w:sz w:val="27"/>
          <w:szCs w:val="19"/>
        </w:rPr>
        <w:t xml:space="preserve">Medicare provides few benefits for the LTC services required by most people with </w:t>
      </w:r>
      <w:proofErr w:type="gramStart"/>
      <w:r w:rsidRPr="006B0CE1">
        <w:rPr>
          <w:rFonts w:ascii="Frutiger-LightCn" w:hAnsi="Frutiger-LightCn" w:cs="Frutiger-LightCn"/>
          <w:sz w:val="27"/>
          <w:szCs w:val="19"/>
        </w:rPr>
        <w:t>Alzheimer’s Disease</w:t>
      </w:r>
      <w:proofErr w:type="gramEnd"/>
      <w:r w:rsidRPr="006B0CE1">
        <w:rPr>
          <w:rFonts w:ascii="Frutiger-LightCn" w:hAnsi="Frutiger-LightCn" w:cs="Frutiger-LightCn"/>
          <w:sz w:val="27"/>
          <w:szCs w:val="19"/>
        </w:rPr>
        <w:t>. Full reimbursement for skilled nursing home care is limited to 100 days per benefit period, after</w:t>
      </w:r>
      <w:r w:rsidR="00FD3771">
        <w:rPr>
          <w:rFonts w:ascii="Frutiger-LightCn" w:hAnsi="Frutiger-LightCn" w:cs="Frutiger-LightCn"/>
          <w:sz w:val="27"/>
          <w:szCs w:val="19"/>
        </w:rPr>
        <w:t xml:space="preserve"> </w:t>
      </w:r>
      <w:r w:rsidRPr="006B0CE1">
        <w:rPr>
          <w:rFonts w:ascii="Frutiger-LightCn" w:hAnsi="Frutiger-LightCn" w:cs="Frutiger-LightCn"/>
          <w:sz w:val="27"/>
          <w:szCs w:val="19"/>
        </w:rPr>
        <w:t>which time the patient must contribute to the costs. Also, Medicare pays nothing if the patient requires only custodial care.</w:t>
      </w:r>
    </w:p>
    <w:p w:rsidR="006B0CE1" w:rsidRPr="006B0CE1" w:rsidRDefault="006B0CE1" w:rsidP="006B0CE1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20"/>
          <w:szCs w:val="10"/>
        </w:rPr>
      </w:pPr>
      <w:r w:rsidRPr="006B0CE1">
        <w:rPr>
          <w:rFonts w:ascii="Frutiger-BoldCn" w:hAnsi="Frutiger-BoldCn" w:cs="Frutiger-BoldCn"/>
          <w:b/>
          <w:bCs/>
          <w:sz w:val="27"/>
          <w:szCs w:val="19"/>
        </w:rPr>
        <w:t>8.</w:t>
      </w:r>
      <w:r w:rsidR="00FD3771">
        <w:rPr>
          <w:rFonts w:ascii="Frutiger-BoldCn" w:hAnsi="Frutiger-BoldCn" w:cs="Frutiger-BoldCn"/>
          <w:b/>
          <w:bCs/>
          <w:sz w:val="27"/>
          <w:szCs w:val="19"/>
        </w:rPr>
        <w:t xml:space="preserve"> </w:t>
      </w:r>
      <w:r w:rsidRPr="006B0CE1">
        <w:rPr>
          <w:rFonts w:ascii="Frutiger-Cn" w:hAnsi="Frutiger-Cn" w:cs="Frutiger-Cn"/>
          <w:sz w:val="27"/>
          <w:szCs w:val="19"/>
        </w:rPr>
        <w:t xml:space="preserve">The average length of stay in a nursing home is more than four years. </w:t>
      </w:r>
      <w:proofErr w:type="gramStart"/>
      <w:r w:rsidRPr="006B0CE1">
        <w:rPr>
          <w:rFonts w:ascii="Frutiger-BoldCn" w:hAnsi="Frutiger-BoldCn" w:cs="Frutiger-BoldCn"/>
          <w:b/>
          <w:bCs/>
          <w:sz w:val="27"/>
          <w:szCs w:val="19"/>
        </w:rPr>
        <w:t>False.</w:t>
      </w:r>
      <w:proofErr w:type="gramEnd"/>
      <w:r w:rsidRPr="006B0CE1">
        <w:rPr>
          <w:rFonts w:ascii="Frutiger-BoldCn" w:hAnsi="Frutiger-BoldCn" w:cs="Frutiger-BoldCn"/>
          <w:b/>
          <w:bCs/>
          <w:sz w:val="27"/>
          <w:szCs w:val="19"/>
        </w:rPr>
        <w:t xml:space="preserve"> </w:t>
      </w:r>
      <w:r w:rsidRPr="006B0CE1">
        <w:rPr>
          <w:rFonts w:ascii="Frutiger-LightCn" w:hAnsi="Frutiger-LightCn" w:cs="Frutiger-LightCn"/>
          <w:sz w:val="27"/>
          <w:szCs w:val="19"/>
        </w:rPr>
        <w:t>The average length of stay in a nursing home is 2.4 years .Of those admitted to nursing homes, 50% stay less than six months, and 10% stay three or more years.</w:t>
      </w:r>
    </w:p>
    <w:p w:rsidR="006B0CE1" w:rsidRPr="006B0CE1" w:rsidRDefault="006B0CE1" w:rsidP="006B0CE1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20"/>
          <w:szCs w:val="10"/>
        </w:rPr>
      </w:pPr>
      <w:r w:rsidRPr="006B0CE1">
        <w:rPr>
          <w:rFonts w:ascii="Frutiger-BoldCn" w:hAnsi="Frutiger-BoldCn" w:cs="Frutiger-BoldCn"/>
          <w:b/>
          <w:bCs/>
          <w:sz w:val="27"/>
          <w:szCs w:val="19"/>
        </w:rPr>
        <w:t>9.</w:t>
      </w:r>
      <w:r w:rsidR="00FD3771">
        <w:rPr>
          <w:rFonts w:ascii="Frutiger-BoldCn" w:hAnsi="Frutiger-BoldCn" w:cs="Frutiger-BoldCn"/>
          <w:b/>
          <w:bCs/>
          <w:sz w:val="27"/>
          <w:szCs w:val="19"/>
        </w:rPr>
        <w:t xml:space="preserve"> </w:t>
      </w:r>
      <w:r w:rsidRPr="006B0CE1">
        <w:rPr>
          <w:rFonts w:ascii="Frutiger-Cn" w:hAnsi="Frutiger-Cn" w:cs="Frutiger-Cn"/>
          <w:sz w:val="27"/>
          <w:szCs w:val="19"/>
        </w:rPr>
        <w:t xml:space="preserve">Nearly 40% of the long term care population is under the age of 65. </w:t>
      </w:r>
      <w:r w:rsidRPr="006B0CE1">
        <w:rPr>
          <w:rFonts w:ascii="Frutiger-BoldCn" w:hAnsi="Frutiger-BoldCn" w:cs="Frutiger-BoldCn"/>
          <w:b/>
          <w:bCs/>
          <w:sz w:val="27"/>
          <w:szCs w:val="19"/>
        </w:rPr>
        <w:t xml:space="preserve">True. </w:t>
      </w:r>
      <w:r w:rsidRPr="006B0CE1">
        <w:rPr>
          <w:rFonts w:ascii="Frutiger-LightCn" w:hAnsi="Frutiger-LightCn" w:cs="Frutiger-LightCn"/>
          <w:sz w:val="27"/>
          <w:szCs w:val="19"/>
        </w:rPr>
        <w:t>37% of people receiving LTC are between the ages of 18 and 64.</w:t>
      </w:r>
    </w:p>
    <w:p w:rsidR="00E52676" w:rsidRDefault="006B0CE1" w:rsidP="00FD3771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27"/>
          <w:szCs w:val="19"/>
        </w:rPr>
      </w:pPr>
      <w:r w:rsidRPr="006B0CE1">
        <w:rPr>
          <w:rFonts w:ascii="Frutiger-BoldCn" w:hAnsi="Frutiger-BoldCn" w:cs="Frutiger-BoldCn"/>
          <w:b/>
          <w:bCs/>
          <w:sz w:val="27"/>
          <w:szCs w:val="19"/>
        </w:rPr>
        <w:t>10.</w:t>
      </w:r>
      <w:r w:rsidR="00FD3771">
        <w:rPr>
          <w:rFonts w:ascii="Frutiger-BoldCn" w:hAnsi="Frutiger-BoldCn" w:cs="Frutiger-BoldCn"/>
          <w:b/>
          <w:bCs/>
          <w:sz w:val="27"/>
          <w:szCs w:val="19"/>
        </w:rPr>
        <w:t xml:space="preserve"> </w:t>
      </w:r>
      <w:r w:rsidRPr="006B0CE1">
        <w:rPr>
          <w:rFonts w:ascii="Frutiger-Cn" w:hAnsi="Frutiger-Cn" w:cs="Frutiger-Cn"/>
          <w:sz w:val="27"/>
          <w:szCs w:val="19"/>
        </w:rPr>
        <w:t xml:space="preserve">On average, a one-year stay in a nursing home costs about $30,000. </w:t>
      </w:r>
      <w:proofErr w:type="gramStart"/>
      <w:r w:rsidRPr="006B0CE1">
        <w:rPr>
          <w:rFonts w:ascii="Frutiger-BoldCn" w:hAnsi="Frutiger-BoldCn" w:cs="Frutiger-BoldCn"/>
          <w:b/>
          <w:bCs/>
          <w:sz w:val="27"/>
          <w:szCs w:val="19"/>
        </w:rPr>
        <w:t>False.</w:t>
      </w:r>
      <w:proofErr w:type="gramEnd"/>
      <w:r w:rsidRPr="006B0CE1">
        <w:rPr>
          <w:rFonts w:ascii="Frutiger-BoldCn" w:hAnsi="Frutiger-BoldCn" w:cs="Frutiger-BoldCn"/>
          <w:b/>
          <w:bCs/>
          <w:sz w:val="27"/>
          <w:szCs w:val="19"/>
        </w:rPr>
        <w:t xml:space="preserve"> </w:t>
      </w:r>
      <w:r w:rsidRPr="006B0CE1">
        <w:rPr>
          <w:rFonts w:ascii="Frutiger-LightCn" w:hAnsi="Frutiger-LightCn" w:cs="Frutiger-LightCn"/>
          <w:sz w:val="27"/>
          <w:szCs w:val="19"/>
        </w:rPr>
        <w:t>On a national average, a one-year stay in a nursing home</w:t>
      </w:r>
      <w:r w:rsidR="00FD3771">
        <w:rPr>
          <w:rFonts w:ascii="Frutiger-LightCn" w:hAnsi="Frutiger-LightCn" w:cs="Frutiger-LightCn"/>
          <w:sz w:val="27"/>
          <w:szCs w:val="19"/>
        </w:rPr>
        <w:t xml:space="preserve"> </w:t>
      </w:r>
      <w:r w:rsidRPr="006B0CE1">
        <w:rPr>
          <w:rFonts w:ascii="Frutiger-LightCn" w:hAnsi="Frutiger-LightCn" w:cs="Frutiger-LightCn"/>
          <w:sz w:val="27"/>
          <w:szCs w:val="19"/>
        </w:rPr>
        <w:t>costs about $71,000.</w:t>
      </w:r>
    </w:p>
    <w:p w:rsidR="00E52676" w:rsidRDefault="00E52676">
      <w:pPr>
        <w:rPr>
          <w:rFonts w:ascii="Frutiger-LightCn" w:hAnsi="Frutiger-LightCn" w:cs="Frutiger-LightCn"/>
          <w:sz w:val="27"/>
          <w:szCs w:val="19"/>
        </w:rPr>
      </w:pPr>
      <w:r>
        <w:rPr>
          <w:rFonts w:ascii="Frutiger-LightCn" w:hAnsi="Frutiger-LightCn" w:cs="Frutiger-LightCn"/>
          <w:sz w:val="27"/>
          <w:szCs w:val="19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0"/>
      </w:tblGrid>
      <w:tr w:rsidR="00E52676" w:rsidRPr="00E526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E004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2676" w:rsidRPr="00E52676" w:rsidRDefault="00E52676" w:rsidP="00E52676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4B4B4D"/>
                <w:sz w:val="20"/>
                <w:szCs w:val="20"/>
              </w:rPr>
              <w:lastRenderedPageBreak/>
              <w:drawing>
                <wp:inline distT="0" distB="0" distL="0" distR="0">
                  <wp:extent cx="38100" cy="38100"/>
                  <wp:effectExtent l="0" t="0" r="0" b="0"/>
                  <wp:docPr id="1" name="Picture 1" descr="http://www.aafp.org/afp/20001215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afp.org/afp/20001215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676" w:rsidRPr="00E526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2676" w:rsidRPr="00E52676" w:rsidRDefault="00E52676" w:rsidP="00E52676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0"/>
                <w:szCs w:val="20"/>
              </w:rPr>
            </w:pPr>
            <w:r w:rsidRPr="00E52676">
              <w:rPr>
                <w:rFonts w:ascii="Arial" w:eastAsia="Times New Roman" w:hAnsi="Arial" w:cs="Arial"/>
                <w:b/>
                <w:bCs/>
                <w:color w:val="4B4B4D"/>
                <w:sz w:val="27"/>
                <w:szCs w:val="27"/>
              </w:rPr>
              <w:t>TABLE 3</w:t>
            </w:r>
            <w:r w:rsidRPr="00E52676">
              <w:rPr>
                <w:rFonts w:ascii="Arial" w:eastAsia="Times New Roman" w:hAnsi="Arial" w:cs="Arial"/>
                <w:color w:val="4B4B4D"/>
                <w:sz w:val="27"/>
                <w:szCs w:val="27"/>
              </w:rPr>
              <w:br/>
              <w:t xml:space="preserve">Resources for Obtaining Information About </w:t>
            </w:r>
            <w:proofErr w:type="spellStart"/>
            <w:r w:rsidRPr="00E52676">
              <w:rPr>
                <w:rFonts w:ascii="Arial" w:eastAsia="Times New Roman" w:hAnsi="Arial" w:cs="Arial"/>
                <w:color w:val="4B4B4D"/>
                <w:sz w:val="27"/>
                <w:szCs w:val="27"/>
              </w:rPr>
              <w:t>Caregiving</w:t>
            </w:r>
            <w:proofErr w:type="spellEnd"/>
            <w:r w:rsidRPr="00E52676">
              <w:rPr>
                <w:rFonts w:ascii="Arial" w:eastAsia="Times New Roman" w:hAnsi="Arial" w:cs="Arial"/>
                <w:color w:val="4B4B4D"/>
                <w:sz w:val="20"/>
                <w:szCs w:val="20"/>
              </w:rPr>
              <w:t xml:space="preserve"> </w:t>
            </w:r>
          </w:p>
          <w:p w:rsidR="00E52676" w:rsidRPr="00E52676" w:rsidRDefault="00362668" w:rsidP="00E52676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0"/>
                <w:szCs w:val="20"/>
              </w:rPr>
            </w:pPr>
            <w:r w:rsidRPr="00362668">
              <w:rPr>
                <w:rFonts w:ascii="Arial" w:eastAsia="Times New Roman" w:hAnsi="Arial" w:cs="Arial"/>
                <w:color w:val="4B4B4D"/>
                <w:sz w:val="20"/>
                <w:szCs w:val="20"/>
              </w:rPr>
              <w:pict>
                <v:rect id="_x0000_i1025" style="width:9in;height:.75pt" o:hralign="center" o:hrstd="t" o:hrnoshade="t" o:hr="t" fillcolor="#eff0e0" stroked="f"/>
              </w:pict>
            </w:r>
          </w:p>
        </w:tc>
      </w:tr>
      <w:tr w:rsidR="00E52676" w:rsidRPr="00E526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9"/>
              <w:gridCol w:w="6921"/>
            </w:tblGrid>
            <w:tr w:rsidR="00E52676" w:rsidRPr="00E5267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52676" w:rsidRPr="00E52676" w:rsidRDefault="00E52676" w:rsidP="00E52676">
                  <w:pPr>
                    <w:spacing w:before="75" w:after="15" w:line="324" w:lineRule="auto"/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</w:pP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t xml:space="preserve">Alzheimer's Association </w:t>
                  </w: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br/>
                    <w:t xml:space="preserve">Telephone: 800-272-3900 </w:t>
                  </w: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br/>
                    <w:t xml:space="preserve">Web address: </w:t>
                  </w:r>
                  <w:hyperlink r:id="rId5" w:history="1">
                    <w:r w:rsidRPr="00E52676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http://www.alz.org</w:t>
                    </w:r>
                  </w:hyperlink>
                </w:p>
                <w:p w:rsidR="00E52676" w:rsidRPr="00E52676" w:rsidRDefault="00E52676" w:rsidP="00E52676">
                  <w:pPr>
                    <w:spacing w:before="75" w:after="15" w:line="324" w:lineRule="auto"/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</w:pP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t>National Information Center of the U.S. Administration on Aging</w:t>
                  </w: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br/>
                    <w:t>Telephone: 202-619-7501</w:t>
                  </w:r>
                </w:p>
                <w:p w:rsidR="00E52676" w:rsidRPr="00E52676" w:rsidRDefault="00E52676" w:rsidP="00E52676">
                  <w:pPr>
                    <w:spacing w:before="75" w:after="15" w:line="324" w:lineRule="auto"/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</w:pP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t>American Association of Retired Persons; a free caregiver resource kit is available (No. D15267)</w:t>
                  </w: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br/>
                    <w:t>Telephone: 800-424-3410</w:t>
                  </w:r>
                </w:p>
                <w:p w:rsidR="00E52676" w:rsidRPr="00E52676" w:rsidRDefault="00E52676" w:rsidP="00E52676">
                  <w:pPr>
                    <w:spacing w:before="75" w:after="15" w:line="324" w:lineRule="auto"/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</w:pP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t>National Counsel on the Aging</w:t>
                  </w: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br/>
                    <w:t>Telephone: 202-479-1200</w:t>
                  </w:r>
                </w:p>
                <w:p w:rsidR="00E52676" w:rsidRPr="00E52676" w:rsidRDefault="00E52676" w:rsidP="00E52676">
                  <w:pPr>
                    <w:spacing w:before="75" w:after="15" w:line="324" w:lineRule="auto"/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</w:pP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t xml:space="preserve">Children of Aging Parents </w:t>
                  </w: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br/>
                    <w:t>Telephone: 800-227-7294</w:t>
                  </w: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br/>
                    <w:t xml:space="preserve">Telephone: 215-945-6900 </w:t>
                  </w: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br/>
                    <w:t>Web address: http://www.careguide.cgi/caps/capshome.htm</w:t>
                  </w:r>
                </w:p>
                <w:p w:rsidR="00E52676" w:rsidRPr="00E52676" w:rsidRDefault="00E52676" w:rsidP="00E52676">
                  <w:pPr>
                    <w:spacing w:before="75" w:after="15" w:line="324" w:lineRule="auto"/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</w:pP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t>National Family Caregivers Association</w:t>
                  </w: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br/>
                    <w:t xml:space="preserve">Telephone: 800-896-3650 </w:t>
                  </w: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br/>
                    <w:t>Web address: http://www.nfcacares.org</w:t>
                  </w:r>
                </w:p>
                <w:p w:rsidR="00E52676" w:rsidRPr="00E52676" w:rsidRDefault="00E52676" w:rsidP="00E52676">
                  <w:pPr>
                    <w:spacing w:before="75" w:after="15" w:line="324" w:lineRule="auto"/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</w:pP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t>The Well Spouse Foundation</w:t>
                  </w: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br/>
                    <w:t>Telephone: 800-838-0879</w:t>
                  </w: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br/>
                    <w:t>Telephone: 202-685-8815</w:t>
                  </w: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br/>
                    <w:t xml:space="preserve">Web address: </w:t>
                  </w:r>
                  <w:hyperlink r:id="rId6" w:history="1">
                    <w:r w:rsidRPr="00E52676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http://www.wellspouse.org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52676" w:rsidRPr="00E52676" w:rsidRDefault="00E52676" w:rsidP="00E52676">
                  <w:pPr>
                    <w:spacing w:before="75" w:after="15" w:line="324" w:lineRule="auto"/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</w:pP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t>National Hotline for Physician Reporting of Elder Abuse and Neglect</w:t>
                  </w: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br/>
                    <w:t>Telephone: 800-490-8505</w:t>
                  </w:r>
                </w:p>
                <w:p w:rsidR="00E52676" w:rsidRPr="00E52676" w:rsidRDefault="00E52676" w:rsidP="00E52676">
                  <w:pPr>
                    <w:spacing w:before="75" w:after="15" w:line="324" w:lineRule="auto"/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</w:pP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t>Eldercare Locator (A nationwide service for locating area agencies on aging)</w:t>
                  </w: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br/>
                    <w:t>Telephone: 800-677-1116</w:t>
                  </w:r>
                </w:p>
                <w:p w:rsidR="00E52676" w:rsidRPr="00E52676" w:rsidRDefault="00E52676" w:rsidP="00E52676">
                  <w:pPr>
                    <w:spacing w:before="75" w:after="15" w:line="324" w:lineRule="auto"/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</w:pP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t>Administration on Aging</w:t>
                  </w: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br/>
                    <w:t xml:space="preserve">Web address: </w:t>
                  </w:r>
                  <w:hyperlink r:id="rId7" w:history="1">
                    <w:r w:rsidRPr="00E52676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http://www.aoa.dhhs.gov</w:t>
                    </w:r>
                  </w:hyperlink>
                </w:p>
                <w:p w:rsidR="00E52676" w:rsidRPr="00E52676" w:rsidRDefault="00E52676" w:rsidP="00E52676">
                  <w:pPr>
                    <w:spacing w:before="75" w:after="15" w:line="324" w:lineRule="auto"/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</w:pPr>
                  <w:proofErr w:type="spellStart"/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t>Caregiving</w:t>
                  </w:r>
                  <w:proofErr w:type="spellEnd"/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t xml:space="preserve"> Online (Online support service through a </w:t>
                  </w:r>
                  <w:proofErr w:type="spellStart"/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t>caregiving</w:t>
                  </w:r>
                  <w:proofErr w:type="spellEnd"/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t xml:space="preserve"> newsletter)</w:t>
                  </w: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br/>
                    <w:t xml:space="preserve">Web address: </w:t>
                  </w:r>
                  <w:hyperlink r:id="rId8" w:history="1">
                    <w:r w:rsidRPr="00E52676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http://www.caregiving.com</w:t>
                    </w:r>
                  </w:hyperlink>
                </w:p>
                <w:p w:rsidR="00E52676" w:rsidRPr="00E52676" w:rsidRDefault="00E52676" w:rsidP="00E52676">
                  <w:pPr>
                    <w:spacing w:before="75" w:after="15" w:line="324" w:lineRule="auto"/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</w:pP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t xml:space="preserve">Alzheimer's Disease Education and Referral Center, National Institute on Aging (This Web site includes information about ongoing studies.) </w:t>
                  </w: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br/>
                    <w:t xml:space="preserve">Web address: </w:t>
                  </w:r>
                  <w:hyperlink r:id="rId9" w:history="1">
                    <w:r w:rsidRPr="00E52676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http://www.alzheimers.org</w:t>
                    </w:r>
                  </w:hyperlink>
                </w:p>
                <w:p w:rsidR="00E52676" w:rsidRPr="00E52676" w:rsidRDefault="00E52676" w:rsidP="00E52676">
                  <w:pPr>
                    <w:spacing w:before="75" w:after="15" w:line="324" w:lineRule="auto"/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</w:pP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t xml:space="preserve">CareGuide.com (A personal </w:t>
                  </w:r>
                  <w:proofErr w:type="spellStart"/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t>caregiving</w:t>
                  </w:r>
                  <w:proofErr w:type="spellEnd"/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t xml:space="preserve"> resource)</w:t>
                  </w: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br/>
                    <w:t>Web address: http://www.careguide.net</w:t>
                  </w:r>
                </w:p>
                <w:p w:rsidR="00E52676" w:rsidRPr="00E52676" w:rsidRDefault="00E52676" w:rsidP="00E52676">
                  <w:pPr>
                    <w:spacing w:before="75" w:after="15" w:line="324" w:lineRule="auto"/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</w:pP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t xml:space="preserve">Caregiverzone.com (A Web site for family </w:t>
                  </w: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br/>
                    <w:t>caregivers, elder care professionals and elderly persons)</w:t>
                  </w:r>
                  <w:r w:rsidRPr="00E52676">
                    <w:rPr>
                      <w:rFonts w:ascii="Arial" w:eastAsia="Times New Roman" w:hAnsi="Arial" w:cs="Arial"/>
                      <w:color w:val="4B4B4D"/>
                      <w:sz w:val="20"/>
                      <w:szCs w:val="20"/>
                    </w:rPr>
                    <w:br/>
                    <w:t>Web address: http://www.caregiverzone.com</w:t>
                  </w:r>
                </w:p>
              </w:tc>
            </w:tr>
          </w:tbl>
          <w:p w:rsidR="00E52676" w:rsidRPr="00E52676" w:rsidRDefault="00E52676" w:rsidP="00E52676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0"/>
                <w:szCs w:val="20"/>
              </w:rPr>
            </w:pPr>
          </w:p>
        </w:tc>
      </w:tr>
    </w:tbl>
    <w:p w:rsidR="00E52676" w:rsidRDefault="00E52676" w:rsidP="00FD3771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27"/>
          <w:szCs w:val="19"/>
        </w:rPr>
      </w:pPr>
    </w:p>
    <w:p w:rsidR="006B0CE1" w:rsidRPr="00FD3771" w:rsidRDefault="006B0CE1" w:rsidP="00D52C46">
      <w:pPr>
        <w:rPr>
          <w:rFonts w:ascii="Frutiger-LightCn" w:hAnsi="Frutiger-LightCn" w:cs="Frutiger-LightCn"/>
          <w:sz w:val="27"/>
          <w:szCs w:val="19"/>
        </w:rPr>
      </w:pPr>
    </w:p>
    <w:sectPr w:rsidR="006B0CE1" w:rsidRPr="00FD3771" w:rsidSect="006B0C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0CE1"/>
    <w:rsid w:val="00362668"/>
    <w:rsid w:val="003E7A07"/>
    <w:rsid w:val="006B0CE1"/>
    <w:rsid w:val="006F0A6F"/>
    <w:rsid w:val="00D52C46"/>
    <w:rsid w:val="00E52676"/>
    <w:rsid w:val="00E82BE6"/>
    <w:rsid w:val="00FD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3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26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giv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oa.dhh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llspous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z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alzheim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and Human Services</dc:creator>
  <cp:lastModifiedBy>Health and Human Services</cp:lastModifiedBy>
  <cp:revision>2</cp:revision>
  <cp:lastPrinted>2010-11-01T16:05:00Z</cp:lastPrinted>
  <dcterms:created xsi:type="dcterms:W3CDTF">2010-10-31T20:39:00Z</dcterms:created>
  <dcterms:modified xsi:type="dcterms:W3CDTF">2010-11-01T18:22:00Z</dcterms:modified>
</cp:coreProperties>
</file>