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D33F" w14:textId="77777777" w:rsidR="00BB5DE5" w:rsidRDefault="00BB5DE5" w:rsidP="00BB5DE5">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GE Area A2 Written Communication: </w:t>
      </w:r>
    </w:p>
    <w:p w14:paraId="05BBECDC" w14:textId="77777777" w:rsidR="00BB5DE5" w:rsidRDefault="00BB5DE5" w:rsidP="00BB5DE5">
      <w:pPr>
        <w:jc w:val="center"/>
        <w:rPr>
          <w:rFonts w:ascii="Times New Roman" w:hAnsi="Times New Roman" w:cs="Times New Roman"/>
          <w:b/>
          <w:sz w:val="32"/>
          <w:szCs w:val="32"/>
        </w:rPr>
      </w:pPr>
      <w:r>
        <w:rPr>
          <w:rFonts w:ascii="Times New Roman" w:hAnsi="Times New Roman" w:cs="Times New Roman"/>
          <w:b/>
          <w:sz w:val="32"/>
          <w:szCs w:val="32"/>
        </w:rPr>
        <w:t>SLO Evaluation Report May 2019</w:t>
      </w:r>
    </w:p>
    <w:p w14:paraId="157A66A7" w14:textId="77777777" w:rsidR="00BB5DE5" w:rsidRDefault="00BB5DE5" w:rsidP="00BB5DE5">
      <w:pPr>
        <w:rPr>
          <w:rFonts w:ascii="Times New Roman" w:hAnsi="Times New Roman" w:cs="Times New Roman"/>
          <w:sz w:val="24"/>
          <w:szCs w:val="24"/>
        </w:rPr>
      </w:pPr>
    </w:p>
    <w:p w14:paraId="13C0C706" w14:textId="77777777" w:rsidR="00BB5DE5" w:rsidRDefault="00BB5DE5" w:rsidP="00BB5DE5">
      <w:pPr>
        <w:rPr>
          <w:rFonts w:ascii="Times New Roman" w:hAnsi="Times New Roman" w:cs="Times New Roman"/>
          <w:b/>
          <w:sz w:val="28"/>
          <w:szCs w:val="28"/>
        </w:rPr>
      </w:pPr>
      <w:r>
        <w:rPr>
          <w:rFonts w:ascii="Times New Roman" w:hAnsi="Times New Roman" w:cs="Times New Roman"/>
          <w:b/>
          <w:sz w:val="28"/>
          <w:szCs w:val="28"/>
        </w:rPr>
        <w:t xml:space="preserve">Background/Description of GE Program </w:t>
      </w:r>
      <w:proofErr w:type="spellStart"/>
      <w:r>
        <w:rPr>
          <w:rFonts w:ascii="Times New Roman" w:hAnsi="Times New Roman" w:cs="Times New Roman"/>
          <w:b/>
          <w:sz w:val="28"/>
          <w:szCs w:val="28"/>
        </w:rPr>
        <w:t>ePortfolio</w:t>
      </w:r>
      <w:proofErr w:type="spellEnd"/>
      <w:r>
        <w:rPr>
          <w:rFonts w:ascii="Times New Roman" w:hAnsi="Times New Roman" w:cs="Times New Roman"/>
          <w:b/>
          <w:sz w:val="28"/>
          <w:szCs w:val="28"/>
        </w:rPr>
        <w:t>:</w:t>
      </w:r>
    </w:p>
    <w:p w14:paraId="3D2730DF" w14:textId="43704AF3" w:rsidR="0073710B" w:rsidRDefault="0073710B" w:rsidP="0073710B">
      <w:pPr>
        <w:rPr>
          <w:rFonts w:ascii="Times New Roman" w:hAnsi="Times New Roman" w:cs="Times New Roman"/>
          <w:sz w:val="24"/>
          <w:szCs w:val="24"/>
        </w:rPr>
      </w:pPr>
      <w:r>
        <w:rPr>
          <w:rFonts w:ascii="Times New Roman" w:hAnsi="Times New Roman" w:cs="Times New Roman"/>
          <w:sz w:val="24"/>
          <w:szCs w:val="24"/>
        </w:rPr>
        <w:t>Prior to the 2017-2018 AY</w:t>
      </w:r>
      <w:r w:rsidRPr="002D3DEB">
        <w:rPr>
          <w:rFonts w:ascii="Times New Roman" w:hAnsi="Times New Roman" w:cs="Times New Roman"/>
          <w:sz w:val="24"/>
          <w:szCs w:val="24"/>
        </w:rPr>
        <w:t>, departments</w:t>
      </w:r>
      <w:r>
        <w:rPr>
          <w:rFonts w:ascii="Times New Roman" w:hAnsi="Times New Roman" w:cs="Times New Roman"/>
          <w:sz w:val="24"/>
          <w:szCs w:val="24"/>
        </w:rPr>
        <w:t>/programs were responsible for assessing</w:t>
      </w:r>
      <w:r w:rsidRPr="002D3DEB">
        <w:rPr>
          <w:rFonts w:ascii="Times New Roman" w:hAnsi="Times New Roman" w:cs="Times New Roman"/>
          <w:sz w:val="24"/>
          <w:szCs w:val="24"/>
        </w:rPr>
        <w:t xml:space="preserve"> GE student learning outcomes </w:t>
      </w:r>
      <w:r>
        <w:rPr>
          <w:rFonts w:ascii="Times New Roman" w:hAnsi="Times New Roman" w:cs="Times New Roman"/>
          <w:sz w:val="24"/>
          <w:szCs w:val="24"/>
        </w:rPr>
        <w:t>and submitting a report every year for the GE Committee to review. This system had several weaknesses. Departments and programs were responsible for deciding which of the two to four outcomes designated for a specific GE Area to assess; thus some outcomes were evaluated multiple times within a year and others were not evaluated at all in certain years. I</w:t>
      </w:r>
      <w:r w:rsidRPr="002D3DEB">
        <w:rPr>
          <w:rFonts w:ascii="Times New Roman" w:hAnsi="Times New Roman" w:cs="Times New Roman"/>
          <w:sz w:val="24"/>
          <w:szCs w:val="24"/>
        </w:rPr>
        <w:t xml:space="preserve">t was </w:t>
      </w:r>
      <w:r>
        <w:rPr>
          <w:rFonts w:ascii="Times New Roman" w:hAnsi="Times New Roman" w:cs="Times New Roman"/>
          <w:sz w:val="24"/>
          <w:szCs w:val="24"/>
        </w:rPr>
        <w:t>also not possible for department</w:t>
      </w:r>
      <w:r w:rsidRPr="002D3DEB">
        <w:rPr>
          <w:rFonts w:ascii="Times New Roman" w:hAnsi="Times New Roman" w:cs="Times New Roman"/>
          <w:sz w:val="24"/>
          <w:szCs w:val="24"/>
        </w:rPr>
        <w:t>s to access and evaluate a representative sample of student work</w:t>
      </w:r>
      <w:r>
        <w:rPr>
          <w:rFonts w:ascii="Times New Roman" w:hAnsi="Times New Roman" w:cs="Times New Roman"/>
          <w:sz w:val="24"/>
          <w:szCs w:val="24"/>
        </w:rPr>
        <w:t>,</w:t>
      </w:r>
      <w:r w:rsidRPr="002D3DEB">
        <w:rPr>
          <w:rFonts w:ascii="Times New Roman" w:hAnsi="Times New Roman" w:cs="Times New Roman"/>
          <w:sz w:val="24"/>
          <w:szCs w:val="24"/>
        </w:rPr>
        <w:t xml:space="preserve"> nor was it possible to compare the results from GE courses in the same GE Area taught by different departments/programs</w:t>
      </w:r>
      <w:r>
        <w:rPr>
          <w:rFonts w:ascii="Times New Roman" w:hAnsi="Times New Roman" w:cs="Times New Roman"/>
          <w:sz w:val="24"/>
          <w:szCs w:val="24"/>
        </w:rPr>
        <w:t>,</w:t>
      </w:r>
      <w:r w:rsidRPr="002D3DEB">
        <w:rPr>
          <w:rFonts w:ascii="Times New Roman" w:hAnsi="Times New Roman" w:cs="Times New Roman"/>
          <w:sz w:val="24"/>
          <w:szCs w:val="24"/>
        </w:rPr>
        <w:t xml:space="preserve"> because </w:t>
      </w:r>
      <w:r w:rsidR="00751076">
        <w:rPr>
          <w:rFonts w:ascii="Times New Roman" w:hAnsi="Times New Roman" w:cs="Times New Roman"/>
          <w:sz w:val="24"/>
          <w:szCs w:val="24"/>
        </w:rPr>
        <w:t>all</w:t>
      </w:r>
      <w:r w:rsidR="00751076" w:rsidRPr="002D3DEB">
        <w:rPr>
          <w:rFonts w:ascii="Times New Roman" w:hAnsi="Times New Roman" w:cs="Times New Roman"/>
          <w:sz w:val="24"/>
          <w:szCs w:val="24"/>
        </w:rPr>
        <w:t xml:space="preserve"> </w:t>
      </w:r>
      <w:r w:rsidRPr="002D3DEB">
        <w:rPr>
          <w:rFonts w:ascii="Times New Roman" w:hAnsi="Times New Roman" w:cs="Times New Roman"/>
          <w:sz w:val="24"/>
          <w:szCs w:val="24"/>
        </w:rPr>
        <w:t>department</w:t>
      </w:r>
      <w:r w:rsidR="00751076">
        <w:rPr>
          <w:rFonts w:ascii="Times New Roman" w:hAnsi="Times New Roman" w:cs="Times New Roman"/>
          <w:sz w:val="24"/>
          <w:szCs w:val="24"/>
        </w:rPr>
        <w:t>s</w:t>
      </w:r>
      <w:r w:rsidRPr="002D3DEB">
        <w:rPr>
          <w:rFonts w:ascii="Times New Roman" w:hAnsi="Times New Roman" w:cs="Times New Roman"/>
          <w:sz w:val="24"/>
          <w:szCs w:val="24"/>
        </w:rPr>
        <w:t>/program</w:t>
      </w:r>
      <w:r w:rsidR="00751076">
        <w:rPr>
          <w:rFonts w:ascii="Times New Roman" w:hAnsi="Times New Roman" w:cs="Times New Roman"/>
          <w:sz w:val="24"/>
          <w:szCs w:val="24"/>
        </w:rPr>
        <w:t>s</w:t>
      </w:r>
      <w:r w:rsidRPr="002D3DEB">
        <w:rPr>
          <w:rFonts w:ascii="Times New Roman" w:hAnsi="Times New Roman" w:cs="Times New Roman"/>
          <w:sz w:val="24"/>
          <w:szCs w:val="24"/>
        </w:rPr>
        <w:t xml:space="preserve"> used </w:t>
      </w:r>
      <w:r w:rsidR="00280233">
        <w:rPr>
          <w:rFonts w:ascii="Times New Roman" w:hAnsi="Times New Roman" w:cs="Times New Roman"/>
          <w:sz w:val="24"/>
          <w:szCs w:val="24"/>
        </w:rPr>
        <w:t>their</w:t>
      </w:r>
      <w:r w:rsidRPr="002D3DEB">
        <w:rPr>
          <w:rFonts w:ascii="Times New Roman" w:hAnsi="Times New Roman" w:cs="Times New Roman"/>
          <w:sz w:val="24"/>
          <w:szCs w:val="24"/>
        </w:rPr>
        <w:t xml:space="preserve"> own crite</w:t>
      </w:r>
      <w:r>
        <w:rPr>
          <w:rFonts w:ascii="Times New Roman" w:hAnsi="Times New Roman" w:cs="Times New Roman"/>
          <w:sz w:val="24"/>
          <w:szCs w:val="24"/>
        </w:rPr>
        <w:t>ria/rubrics. Finally, the GE Committee was not able to review and analyze the GE assessment reports in a comprehensive fashion, since the committee was also tasked with reviewing all GE curriculum proposals, as well as discussing and updating GE policies and procedures.</w:t>
      </w:r>
    </w:p>
    <w:p w14:paraId="5724CD0A" w14:textId="7E0DD05B" w:rsidR="001E4586" w:rsidRDefault="001E4586" w:rsidP="001E4586">
      <w:pPr>
        <w:rPr>
          <w:rFonts w:ascii="Times New Roman" w:hAnsi="Times New Roman" w:cs="Times New Roman"/>
          <w:sz w:val="24"/>
          <w:szCs w:val="24"/>
        </w:rPr>
      </w:pPr>
      <w:r>
        <w:rPr>
          <w:rFonts w:ascii="Times New Roman" w:hAnsi="Times New Roman" w:cs="Times New Roman"/>
          <w:sz w:val="24"/>
          <w:szCs w:val="24"/>
        </w:rPr>
        <w:t>Therefore, Fresno State developed</w:t>
      </w:r>
      <w:r w:rsidRPr="002D3DEB">
        <w:rPr>
          <w:rFonts w:ascii="Times New Roman" w:hAnsi="Times New Roman" w:cs="Times New Roman"/>
          <w:sz w:val="24"/>
          <w:szCs w:val="24"/>
        </w:rPr>
        <w:t xml:space="preserve"> </w:t>
      </w:r>
      <w:r w:rsidR="00280233">
        <w:rPr>
          <w:rFonts w:ascii="Times New Roman" w:hAnsi="Times New Roman" w:cs="Times New Roman"/>
          <w:sz w:val="24"/>
          <w:szCs w:val="24"/>
        </w:rPr>
        <w:t>and proposed</w:t>
      </w:r>
      <w:r>
        <w:rPr>
          <w:rFonts w:ascii="Times New Roman" w:hAnsi="Times New Roman" w:cs="Times New Roman"/>
          <w:sz w:val="24"/>
          <w:szCs w:val="24"/>
        </w:rPr>
        <w:t xml:space="preserve"> a </w:t>
      </w:r>
      <w:r w:rsidRPr="002D3DEB">
        <w:rPr>
          <w:rFonts w:ascii="Times New Roman" w:hAnsi="Times New Roman" w:cs="Times New Roman"/>
          <w:sz w:val="24"/>
          <w:szCs w:val="24"/>
        </w:rPr>
        <w:t xml:space="preserve">new system of evaluating </w:t>
      </w:r>
      <w:r>
        <w:rPr>
          <w:rFonts w:ascii="Times New Roman" w:hAnsi="Times New Roman" w:cs="Times New Roman"/>
          <w:sz w:val="24"/>
          <w:szCs w:val="24"/>
        </w:rPr>
        <w:t>GE student learning outcomes during the 2014-2015 AY. The proposal was approved by Fresno State’s Academic Senate in May 2017 and by</w:t>
      </w:r>
      <w:r w:rsidR="00280233">
        <w:rPr>
          <w:rFonts w:ascii="Times New Roman" w:hAnsi="Times New Roman" w:cs="Times New Roman"/>
          <w:sz w:val="24"/>
          <w:szCs w:val="24"/>
        </w:rPr>
        <w:t xml:space="preserve"> President</w:t>
      </w:r>
      <w:r>
        <w:rPr>
          <w:rFonts w:ascii="Times New Roman" w:hAnsi="Times New Roman" w:cs="Times New Roman"/>
          <w:sz w:val="24"/>
          <w:szCs w:val="24"/>
        </w:rPr>
        <w:t xml:space="preserve"> Joseph Castro in August of 2017</w:t>
      </w:r>
      <w:r w:rsidRPr="002D3DEB">
        <w:rPr>
          <w:rFonts w:ascii="Times New Roman" w:hAnsi="Times New Roman" w:cs="Times New Roman"/>
          <w:sz w:val="24"/>
          <w:szCs w:val="24"/>
        </w:rPr>
        <w:t xml:space="preserve">. </w:t>
      </w:r>
      <w:r w:rsidR="00280233">
        <w:rPr>
          <w:rFonts w:ascii="Times New Roman" w:hAnsi="Times New Roman" w:cs="Times New Roman"/>
          <w:sz w:val="24"/>
          <w:szCs w:val="24"/>
        </w:rPr>
        <w:t>The new system requires that</w:t>
      </w:r>
      <w:r>
        <w:rPr>
          <w:rFonts w:ascii="Times New Roman" w:hAnsi="Times New Roman" w:cs="Times New Roman"/>
          <w:sz w:val="24"/>
          <w:szCs w:val="24"/>
        </w:rPr>
        <w:t xml:space="preserve"> all freshmen and transfer students admitted to Fresno State beginning in Fall 2018 will submit one designated assignment</w:t>
      </w:r>
      <w:r w:rsidR="00280233">
        <w:rPr>
          <w:rFonts w:ascii="Times New Roman" w:hAnsi="Times New Roman" w:cs="Times New Roman"/>
          <w:sz w:val="24"/>
          <w:szCs w:val="24"/>
        </w:rPr>
        <w:t xml:space="preserve"> (papers, exams, videos, </w:t>
      </w:r>
      <w:r w:rsidR="00F44AA1">
        <w:rPr>
          <w:rFonts w:ascii="Times New Roman" w:hAnsi="Times New Roman" w:cs="Times New Roman"/>
          <w:sz w:val="24"/>
          <w:szCs w:val="24"/>
        </w:rPr>
        <w:t xml:space="preserve">lab handouts, </w:t>
      </w:r>
      <w:r w:rsidR="00280233">
        <w:rPr>
          <w:rFonts w:ascii="Times New Roman" w:hAnsi="Times New Roman" w:cs="Times New Roman"/>
          <w:sz w:val="24"/>
          <w:szCs w:val="24"/>
        </w:rPr>
        <w:t>etc.)</w:t>
      </w:r>
      <w:r>
        <w:rPr>
          <w:rFonts w:ascii="Times New Roman" w:hAnsi="Times New Roman" w:cs="Times New Roman"/>
          <w:sz w:val="24"/>
          <w:szCs w:val="24"/>
        </w:rPr>
        <w:t xml:space="preserve"> aligned to one GE student outcome from lower-division (for freshmen) and upper-division (for freshmen and transfer students) GE courses to a GE Program </w:t>
      </w:r>
      <w:proofErr w:type="spellStart"/>
      <w:r>
        <w:rPr>
          <w:rFonts w:ascii="Times New Roman" w:hAnsi="Times New Roman" w:cs="Times New Roman"/>
          <w:sz w:val="24"/>
          <w:szCs w:val="24"/>
        </w:rPr>
        <w:t>ePortfolio</w:t>
      </w:r>
      <w:proofErr w:type="spellEnd"/>
      <w:r w:rsidR="00280233">
        <w:rPr>
          <w:rFonts w:ascii="Times New Roman" w:hAnsi="Times New Roman" w:cs="Times New Roman"/>
          <w:sz w:val="24"/>
          <w:szCs w:val="24"/>
        </w:rPr>
        <w:t xml:space="preserve"> via Blackboard</w:t>
      </w:r>
      <w:r>
        <w:rPr>
          <w:rFonts w:ascii="Times New Roman" w:hAnsi="Times New Roman" w:cs="Times New Roman"/>
          <w:sz w:val="24"/>
          <w:szCs w:val="24"/>
        </w:rPr>
        <w:t>. Students will also write 300-word reflections (freshmen write three and transfer students write one) about their learning</w:t>
      </w:r>
      <w:r w:rsidR="00280233">
        <w:rPr>
          <w:rFonts w:ascii="Times New Roman" w:hAnsi="Times New Roman" w:cs="Times New Roman"/>
          <w:sz w:val="24"/>
          <w:szCs w:val="24"/>
        </w:rPr>
        <w:t xml:space="preserve"> experience(s)</w:t>
      </w:r>
      <w:r>
        <w:rPr>
          <w:rFonts w:ascii="Times New Roman" w:hAnsi="Times New Roman" w:cs="Times New Roman"/>
          <w:sz w:val="24"/>
          <w:szCs w:val="24"/>
        </w:rPr>
        <w:t xml:space="preserve"> and submit these to the GE Program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The GE Program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was set up by the Director of Assessment and students were automatically enrolled. Handouts, videos, and other resources that were posted previously to Blackboard were uploaded to Canvas when the campus transitioned from Blackboard to Canvas</w:t>
      </w:r>
      <w:r w:rsidR="00280233">
        <w:rPr>
          <w:rFonts w:ascii="Times New Roman" w:hAnsi="Times New Roman" w:cs="Times New Roman"/>
          <w:sz w:val="24"/>
          <w:szCs w:val="24"/>
        </w:rPr>
        <w:t xml:space="preserve"> in summer 2019</w:t>
      </w:r>
      <w:r>
        <w:rPr>
          <w:rFonts w:ascii="Times New Roman" w:hAnsi="Times New Roman" w:cs="Times New Roman"/>
          <w:sz w:val="24"/>
          <w:szCs w:val="24"/>
        </w:rPr>
        <w:t>.</w:t>
      </w:r>
    </w:p>
    <w:p w14:paraId="240FA9BF" w14:textId="4766D4DC" w:rsidR="00585547" w:rsidRPr="002D3DEB" w:rsidRDefault="00585547" w:rsidP="00585547">
      <w:pPr>
        <w:rPr>
          <w:rFonts w:ascii="Times New Roman" w:hAnsi="Times New Roman" w:cs="Times New Roman"/>
          <w:sz w:val="24"/>
          <w:szCs w:val="24"/>
        </w:rPr>
      </w:pPr>
      <w:r>
        <w:rPr>
          <w:rFonts w:ascii="Times New Roman" w:hAnsi="Times New Roman" w:cs="Times New Roman"/>
          <w:sz w:val="24"/>
          <w:szCs w:val="24"/>
        </w:rPr>
        <w:t>During the first year of implementation (2017-2018 AY), efforts</w:t>
      </w:r>
      <w:r w:rsidRPr="002D3DEB">
        <w:rPr>
          <w:rFonts w:ascii="Times New Roman" w:hAnsi="Times New Roman" w:cs="Times New Roman"/>
          <w:sz w:val="24"/>
          <w:szCs w:val="24"/>
        </w:rPr>
        <w:t xml:space="preserve"> </w:t>
      </w:r>
      <w:r>
        <w:rPr>
          <w:rFonts w:ascii="Times New Roman" w:hAnsi="Times New Roman" w:cs="Times New Roman"/>
          <w:sz w:val="24"/>
          <w:szCs w:val="24"/>
        </w:rPr>
        <w:t>focused on electing members to the new GE Assessment Subc</w:t>
      </w:r>
      <w:r w:rsidRPr="002D3DEB">
        <w:rPr>
          <w:rFonts w:ascii="Times New Roman" w:hAnsi="Times New Roman" w:cs="Times New Roman"/>
          <w:sz w:val="24"/>
          <w:szCs w:val="24"/>
        </w:rPr>
        <w:t>ommittee and on approving common rubrics</w:t>
      </w:r>
      <w:r w:rsidR="00F44AA1">
        <w:rPr>
          <w:rFonts w:ascii="Times New Roman" w:hAnsi="Times New Roman" w:cs="Times New Roman"/>
          <w:sz w:val="24"/>
          <w:szCs w:val="24"/>
        </w:rPr>
        <w:t xml:space="preserve"> across GE areas</w:t>
      </w:r>
      <w:r w:rsidRPr="002D3DEB">
        <w:rPr>
          <w:rFonts w:ascii="Times New Roman" w:hAnsi="Times New Roman" w:cs="Times New Roman"/>
          <w:sz w:val="24"/>
          <w:szCs w:val="24"/>
        </w:rPr>
        <w:t xml:space="preserve"> to be used to evaluate GE student learning outcomes.</w:t>
      </w:r>
      <w:r>
        <w:rPr>
          <w:rFonts w:ascii="Times New Roman" w:hAnsi="Times New Roman" w:cs="Times New Roman"/>
          <w:sz w:val="24"/>
          <w:szCs w:val="24"/>
        </w:rPr>
        <w:t xml:space="preserve"> Fresno State’s GE student learning outcomes were approved by the Academic Senate in 2010. These are the forty outcomes that will be evaluated on a five-year schedule. Beginning in the 2018-2019 AY, a team consisting of the Director of Assessment, ten faculty members serving on the GE Assessment </w:t>
      </w:r>
      <w:r w:rsidR="00F44AA1">
        <w:rPr>
          <w:rFonts w:ascii="Times New Roman" w:hAnsi="Times New Roman" w:cs="Times New Roman"/>
          <w:sz w:val="24"/>
          <w:szCs w:val="24"/>
        </w:rPr>
        <w:t>Subc</w:t>
      </w:r>
      <w:r>
        <w:rPr>
          <w:rFonts w:ascii="Times New Roman" w:hAnsi="Times New Roman" w:cs="Times New Roman"/>
          <w:sz w:val="24"/>
          <w:szCs w:val="24"/>
        </w:rPr>
        <w:t xml:space="preserve">ommittee, and </w:t>
      </w:r>
      <w:r w:rsidR="00F44AA1">
        <w:rPr>
          <w:rFonts w:ascii="Times New Roman" w:hAnsi="Times New Roman" w:cs="Times New Roman"/>
          <w:sz w:val="24"/>
          <w:szCs w:val="24"/>
        </w:rPr>
        <w:t>a</w:t>
      </w:r>
      <w:r>
        <w:rPr>
          <w:rFonts w:ascii="Times New Roman" w:hAnsi="Times New Roman" w:cs="Times New Roman"/>
          <w:sz w:val="24"/>
          <w:szCs w:val="24"/>
        </w:rPr>
        <w:t xml:space="preserve"> student representative</w:t>
      </w:r>
      <w:r w:rsidR="00F44AA1">
        <w:rPr>
          <w:rFonts w:ascii="Times New Roman" w:hAnsi="Times New Roman" w:cs="Times New Roman"/>
          <w:sz w:val="24"/>
          <w:szCs w:val="24"/>
        </w:rPr>
        <w:t xml:space="preserve"> appointed by ASI, Inc. (student government)</w:t>
      </w:r>
      <w:r>
        <w:rPr>
          <w:rFonts w:ascii="Times New Roman" w:hAnsi="Times New Roman" w:cs="Times New Roman"/>
          <w:sz w:val="24"/>
          <w:szCs w:val="24"/>
        </w:rPr>
        <w:t xml:space="preserve"> selected a random sample of student submissions for all ten outcomes in GE Areas A1, A2, and A3, then evaluated these submissions to determine proficiency in the GE student learning outcomes for GE Area A. </w:t>
      </w:r>
    </w:p>
    <w:p w14:paraId="7CF1F95E" w14:textId="460DDFEB" w:rsidR="00BB5DE5" w:rsidRDefault="00BC3D43" w:rsidP="00BB5DE5">
      <w:pPr>
        <w:rPr>
          <w:rFonts w:ascii="Times New Roman" w:hAnsi="Times New Roman" w:cs="Times New Roman"/>
          <w:b/>
          <w:sz w:val="28"/>
          <w:szCs w:val="28"/>
        </w:rPr>
      </w:pPr>
      <w:r>
        <w:rPr>
          <w:rFonts w:ascii="Times New Roman" w:hAnsi="Times New Roman" w:cs="Times New Roman"/>
          <w:b/>
          <w:sz w:val="28"/>
          <w:szCs w:val="28"/>
        </w:rPr>
        <w:t>GE Assessment Subc</w:t>
      </w:r>
      <w:r w:rsidR="00BB5DE5">
        <w:rPr>
          <w:rFonts w:ascii="Times New Roman" w:hAnsi="Times New Roman" w:cs="Times New Roman"/>
          <w:b/>
          <w:sz w:val="28"/>
          <w:szCs w:val="28"/>
        </w:rPr>
        <w:t>ommittee: Evaluation and Norming Process:</w:t>
      </w:r>
    </w:p>
    <w:p w14:paraId="34ADDB4E" w14:textId="4F00C427" w:rsidR="00A13E28" w:rsidRDefault="00A13E28" w:rsidP="00A13E28">
      <w:pPr>
        <w:rPr>
          <w:rFonts w:ascii="Times New Roman" w:hAnsi="Times New Roman" w:cs="Times New Roman"/>
          <w:sz w:val="24"/>
          <w:szCs w:val="24"/>
        </w:rPr>
      </w:pPr>
      <w:r>
        <w:rPr>
          <w:rFonts w:ascii="Times New Roman" w:hAnsi="Times New Roman" w:cs="Times New Roman"/>
          <w:sz w:val="24"/>
          <w:szCs w:val="24"/>
        </w:rPr>
        <w:lastRenderedPageBreak/>
        <w:t>The GE Assessment Subcommittee had previously reviewed and approved common rubrics for evaluating each of the ten GE student learning outcomes designated for GE Area A. The committee also discussed the specific assignments submitted for each outcome and evaluated how well each assignment aligned to a specific GE student learning outcome. Finally, after two committee members were assigned to evaluate specific student learning outcomes, the Director of Assessment held a two-hour meeting with all five faculty teams</w:t>
      </w:r>
      <w:r w:rsidR="001C5063">
        <w:rPr>
          <w:rFonts w:ascii="Times New Roman" w:hAnsi="Times New Roman" w:cs="Times New Roman"/>
          <w:sz w:val="24"/>
          <w:szCs w:val="24"/>
        </w:rPr>
        <w:t xml:space="preserve"> where</w:t>
      </w:r>
      <w:r>
        <w:rPr>
          <w:rFonts w:ascii="Times New Roman" w:hAnsi="Times New Roman" w:cs="Times New Roman"/>
          <w:sz w:val="24"/>
          <w:szCs w:val="24"/>
        </w:rPr>
        <w:t xml:space="preserve"> the appropriate rubric was used to evaluate sample student work as part of the norming process. Each reviewer scored the student work independently. Clarification was provided as necessary during the period in which the faculty teams were reviewing and scoring the assignments. After scoring the work, faculty teams met to identify common strengths and weaknesses; a third reviewer scored all assignments on which the two reviewers did not agree about proficiency. </w:t>
      </w:r>
    </w:p>
    <w:p w14:paraId="7D46619D" w14:textId="75962607" w:rsidR="00BB5DE5" w:rsidRPr="00BB5DE5" w:rsidRDefault="00BB5DE5" w:rsidP="00BB5DE5">
      <w:pPr>
        <w:spacing w:line="259" w:lineRule="auto"/>
        <w:rPr>
          <w:rFonts w:ascii="Times New Roman" w:hAnsi="Times New Roman" w:cs="Times New Roman"/>
          <w:b/>
          <w:sz w:val="28"/>
          <w:szCs w:val="28"/>
        </w:rPr>
      </w:pPr>
      <w:r w:rsidRPr="00BB5DE5">
        <w:rPr>
          <w:rFonts w:ascii="Times New Roman" w:hAnsi="Times New Roman" w:cs="Times New Roman"/>
          <w:b/>
          <w:sz w:val="28"/>
          <w:szCs w:val="28"/>
        </w:rPr>
        <w:t>Outcomes and measures (assignments) used to e</w:t>
      </w:r>
      <w:r w:rsidR="00546967">
        <w:rPr>
          <w:rFonts w:ascii="Times New Roman" w:hAnsi="Times New Roman" w:cs="Times New Roman"/>
          <w:b/>
          <w:sz w:val="28"/>
          <w:szCs w:val="28"/>
        </w:rPr>
        <w:t>valuate A2</w:t>
      </w:r>
      <w:r w:rsidRPr="00BB5DE5">
        <w:rPr>
          <w:rFonts w:ascii="Times New Roman" w:hAnsi="Times New Roman" w:cs="Times New Roman"/>
          <w:b/>
          <w:sz w:val="28"/>
          <w:szCs w:val="28"/>
        </w:rPr>
        <w:t xml:space="preserve"> outcomes:</w:t>
      </w:r>
    </w:p>
    <w:p w14:paraId="101BC178" w14:textId="77777777" w:rsidR="00A239D0" w:rsidRPr="00A239D0" w:rsidRDefault="00A239D0" w:rsidP="00A239D0">
      <w:pPr>
        <w:spacing w:after="0" w:line="240" w:lineRule="auto"/>
        <w:rPr>
          <w:rFonts w:ascii="Times New Roman" w:eastAsia="Times New Roman" w:hAnsi="Times New Roman" w:cs="Times New Roman"/>
          <w:b/>
          <w:sz w:val="24"/>
          <w:szCs w:val="24"/>
        </w:rPr>
      </w:pPr>
      <w:r w:rsidRPr="00A239D0">
        <w:rPr>
          <w:rFonts w:ascii="Times New Roman" w:eastAsia="Times New Roman" w:hAnsi="Times New Roman" w:cs="Times New Roman"/>
          <w:b/>
          <w:sz w:val="24"/>
          <w:szCs w:val="24"/>
        </w:rPr>
        <w:t>Upon completion of an Area A2 (Written Communication) course, students will be able to:</w:t>
      </w:r>
    </w:p>
    <w:p w14:paraId="13D9CEC5" w14:textId="77777777" w:rsidR="00A239D0" w:rsidRPr="00A239D0" w:rsidRDefault="00A239D0" w:rsidP="00A239D0">
      <w:pPr>
        <w:spacing w:after="0" w:line="240" w:lineRule="auto"/>
        <w:rPr>
          <w:rFonts w:ascii="Times New Roman" w:eastAsia="Times New Roman" w:hAnsi="Times New Roman" w:cs="Times New Roman"/>
          <w:sz w:val="24"/>
          <w:szCs w:val="24"/>
        </w:rPr>
      </w:pPr>
    </w:p>
    <w:p w14:paraId="25DE1B8F" w14:textId="77777777" w:rsidR="00A239D0" w:rsidRPr="00A239D0" w:rsidRDefault="00A239D0" w:rsidP="00A239D0">
      <w:pPr>
        <w:numPr>
          <w:ilvl w:val="0"/>
          <w:numId w:val="1"/>
        </w:numPr>
        <w:spacing w:after="0" w:line="240" w:lineRule="auto"/>
        <w:rPr>
          <w:rFonts w:ascii="Times New Roman" w:eastAsia="Times New Roman" w:hAnsi="Times New Roman" w:cs="Times New Roman"/>
          <w:sz w:val="24"/>
          <w:szCs w:val="24"/>
        </w:rPr>
      </w:pPr>
      <w:r w:rsidRPr="00A239D0">
        <w:rPr>
          <w:rFonts w:ascii="Times New Roman" w:eastAsia="Times New Roman" w:hAnsi="Times New Roman" w:cs="Times New Roman"/>
          <w:sz w:val="24"/>
          <w:szCs w:val="24"/>
        </w:rPr>
        <w:t>Demonstrate appropriate language use, clarity, proficiency in writing, and citation mechanics.</w:t>
      </w:r>
    </w:p>
    <w:p w14:paraId="54D3F512" w14:textId="77777777" w:rsidR="00A239D0" w:rsidRPr="00A239D0" w:rsidRDefault="00A239D0" w:rsidP="00A239D0">
      <w:pPr>
        <w:spacing w:after="0" w:line="240" w:lineRule="auto"/>
        <w:rPr>
          <w:rFonts w:ascii="Times New Roman" w:eastAsia="Times New Roman" w:hAnsi="Times New Roman" w:cs="Times New Roman"/>
          <w:sz w:val="24"/>
          <w:szCs w:val="24"/>
        </w:rPr>
      </w:pPr>
    </w:p>
    <w:p w14:paraId="626D8F40" w14:textId="77777777" w:rsidR="00A239D0" w:rsidRPr="00A239D0" w:rsidRDefault="00A239D0" w:rsidP="00A239D0">
      <w:pPr>
        <w:numPr>
          <w:ilvl w:val="0"/>
          <w:numId w:val="1"/>
        </w:numPr>
        <w:spacing w:after="0" w:line="240" w:lineRule="auto"/>
        <w:rPr>
          <w:rFonts w:ascii="Times New Roman" w:eastAsia="Times New Roman" w:hAnsi="Times New Roman" w:cs="Times New Roman"/>
          <w:sz w:val="24"/>
          <w:szCs w:val="24"/>
        </w:rPr>
      </w:pPr>
      <w:r w:rsidRPr="00A239D0">
        <w:rPr>
          <w:rFonts w:ascii="Times New Roman" w:eastAsia="Times New Roman" w:hAnsi="Times New Roman" w:cs="Times New Roman"/>
          <w:sz w:val="24"/>
          <w:szCs w:val="24"/>
        </w:rPr>
        <w:t>Demonstrate effective academic reading strategies and processes, as well as critical evaluation of written work.</w:t>
      </w:r>
    </w:p>
    <w:p w14:paraId="201D70AE" w14:textId="77777777" w:rsidR="00A239D0" w:rsidRPr="00A239D0" w:rsidRDefault="00A239D0" w:rsidP="00A239D0">
      <w:pPr>
        <w:spacing w:after="0" w:line="240" w:lineRule="auto"/>
        <w:rPr>
          <w:rFonts w:ascii="Times New Roman" w:eastAsia="Times New Roman" w:hAnsi="Times New Roman" w:cs="Times New Roman"/>
          <w:sz w:val="24"/>
          <w:szCs w:val="24"/>
        </w:rPr>
      </w:pPr>
    </w:p>
    <w:p w14:paraId="2478824D" w14:textId="77777777" w:rsidR="00A239D0" w:rsidRPr="00A239D0" w:rsidRDefault="00A239D0" w:rsidP="00A239D0">
      <w:pPr>
        <w:numPr>
          <w:ilvl w:val="0"/>
          <w:numId w:val="1"/>
        </w:numPr>
        <w:spacing w:after="0" w:line="240" w:lineRule="auto"/>
        <w:rPr>
          <w:rFonts w:ascii="Times New Roman" w:eastAsia="Times New Roman" w:hAnsi="Times New Roman" w:cs="Times New Roman"/>
          <w:sz w:val="24"/>
          <w:szCs w:val="24"/>
        </w:rPr>
      </w:pPr>
      <w:r w:rsidRPr="00A239D0">
        <w:rPr>
          <w:rFonts w:ascii="Times New Roman" w:eastAsia="Times New Roman" w:hAnsi="Times New Roman" w:cs="Times New Roman"/>
          <w:sz w:val="24"/>
          <w:szCs w:val="24"/>
        </w:rPr>
        <w:t>Demonstrate effective academic summary, rhetorical awareness and perception, and analysis and synthesis of information.</w:t>
      </w:r>
    </w:p>
    <w:p w14:paraId="3E2B9B90" w14:textId="77777777" w:rsidR="00BB5DE5" w:rsidRDefault="00BB5DE5" w:rsidP="00BB5DE5">
      <w:pPr>
        <w:rPr>
          <w:rFonts w:ascii="Times New Roman" w:hAnsi="Times New Roman" w:cs="Times New Roman"/>
          <w:sz w:val="24"/>
          <w:szCs w:val="24"/>
        </w:rPr>
      </w:pPr>
    </w:p>
    <w:p w14:paraId="29FBCA1E" w14:textId="77777777" w:rsidR="00BB5DE5" w:rsidRDefault="00BB5DE5" w:rsidP="00BB5DE5">
      <w:pPr>
        <w:rPr>
          <w:rFonts w:ascii="Times New Roman" w:hAnsi="Times New Roman" w:cs="Times New Roman"/>
          <w:sz w:val="24"/>
          <w:szCs w:val="24"/>
        </w:rPr>
      </w:pPr>
      <w:r>
        <w:rPr>
          <w:rFonts w:ascii="Times New Roman" w:hAnsi="Times New Roman" w:cs="Times New Roman"/>
          <w:sz w:val="24"/>
          <w:szCs w:val="24"/>
        </w:rPr>
        <w:t>Assignments:</w:t>
      </w:r>
    </w:p>
    <w:p w14:paraId="3B859C78" w14:textId="54EA9929" w:rsidR="00BB5DE5" w:rsidRDefault="00A239D0" w:rsidP="00BB5DE5">
      <w:pPr>
        <w:rPr>
          <w:rFonts w:ascii="Times New Roman" w:hAnsi="Times New Roman" w:cs="Times New Roman"/>
          <w:sz w:val="24"/>
          <w:szCs w:val="24"/>
        </w:rPr>
      </w:pPr>
      <w:r>
        <w:rPr>
          <w:rFonts w:ascii="Times New Roman" w:hAnsi="Times New Roman" w:cs="Times New Roman"/>
          <w:sz w:val="24"/>
          <w:szCs w:val="24"/>
        </w:rPr>
        <w:t xml:space="preserve">Professors teaching English 5B and English 10 courses that satisfy the </w:t>
      </w:r>
      <w:r w:rsidR="000455A5">
        <w:rPr>
          <w:rFonts w:ascii="Times New Roman" w:hAnsi="Times New Roman" w:cs="Times New Roman"/>
          <w:sz w:val="24"/>
          <w:szCs w:val="24"/>
        </w:rPr>
        <w:t>requirements for GE Area A2 assign</w:t>
      </w:r>
      <w:r>
        <w:rPr>
          <w:rFonts w:ascii="Times New Roman" w:hAnsi="Times New Roman" w:cs="Times New Roman"/>
          <w:sz w:val="24"/>
          <w:szCs w:val="24"/>
        </w:rPr>
        <w:t xml:space="preserve"> multiple writing a</w:t>
      </w:r>
      <w:r w:rsidR="005D004D">
        <w:rPr>
          <w:rFonts w:ascii="Times New Roman" w:hAnsi="Times New Roman" w:cs="Times New Roman"/>
          <w:sz w:val="24"/>
          <w:szCs w:val="24"/>
        </w:rPr>
        <w:t>ssignments during th</w:t>
      </w:r>
      <w:r w:rsidR="00FF7C58">
        <w:rPr>
          <w:rFonts w:ascii="Times New Roman" w:hAnsi="Times New Roman" w:cs="Times New Roman"/>
          <w:sz w:val="24"/>
          <w:szCs w:val="24"/>
        </w:rPr>
        <w:t>e semester. In both 5B</w:t>
      </w:r>
      <w:r w:rsidR="00632F5D">
        <w:rPr>
          <w:rFonts w:ascii="Times New Roman" w:hAnsi="Times New Roman" w:cs="Times New Roman"/>
          <w:sz w:val="24"/>
          <w:szCs w:val="24"/>
        </w:rPr>
        <w:t xml:space="preserve"> and in 10, writing is incor</w:t>
      </w:r>
      <w:r w:rsidR="00DD264F">
        <w:rPr>
          <w:rFonts w:ascii="Times New Roman" w:hAnsi="Times New Roman" w:cs="Times New Roman"/>
          <w:sz w:val="24"/>
          <w:szCs w:val="24"/>
        </w:rPr>
        <w:t>porated throughout th</w:t>
      </w:r>
      <w:r w:rsidR="00FF7C58">
        <w:rPr>
          <w:rFonts w:ascii="Times New Roman" w:hAnsi="Times New Roman" w:cs="Times New Roman"/>
          <w:sz w:val="24"/>
          <w:szCs w:val="24"/>
        </w:rPr>
        <w:t>e semester. Assignments were primarily</w:t>
      </w:r>
      <w:r w:rsidR="00632F5D">
        <w:rPr>
          <w:rFonts w:ascii="Times New Roman" w:hAnsi="Times New Roman" w:cs="Times New Roman"/>
          <w:sz w:val="24"/>
          <w:szCs w:val="24"/>
        </w:rPr>
        <w:t xml:space="preserve"> longer papers</w:t>
      </w:r>
      <w:r w:rsidR="00FF7C58">
        <w:rPr>
          <w:rFonts w:ascii="Times New Roman" w:hAnsi="Times New Roman" w:cs="Times New Roman"/>
          <w:sz w:val="24"/>
          <w:szCs w:val="24"/>
        </w:rPr>
        <w:t xml:space="preserve"> due toward the end of the semester</w:t>
      </w:r>
      <w:r w:rsidR="00632F5D">
        <w:rPr>
          <w:rFonts w:ascii="Times New Roman" w:hAnsi="Times New Roman" w:cs="Times New Roman"/>
          <w:sz w:val="24"/>
          <w:szCs w:val="24"/>
        </w:rPr>
        <w:t>. S</w:t>
      </w:r>
      <w:r w:rsidR="00FF7C58">
        <w:rPr>
          <w:rFonts w:ascii="Times New Roman" w:hAnsi="Times New Roman" w:cs="Times New Roman"/>
          <w:sz w:val="24"/>
          <w:szCs w:val="24"/>
        </w:rPr>
        <w:t xml:space="preserve">tudents taking 5b submitted </w:t>
      </w:r>
      <w:r w:rsidR="00632F5D">
        <w:rPr>
          <w:rFonts w:ascii="Times New Roman" w:hAnsi="Times New Roman" w:cs="Times New Roman"/>
          <w:sz w:val="24"/>
          <w:szCs w:val="24"/>
        </w:rPr>
        <w:t>essays focused on a specific topic</w:t>
      </w:r>
      <w:r w:rsidR="00FF7C58">
        <w:rPr>
          <w:rFonts w:ascii="Times New Roman" w:hAnsi="Times New Roman" w:cs="Times New Roman"/>
          <w:sz w:val="24"/>
          <w:szCs w:val="24"/>
        </w:rPr>
        <w:t xml:space="preserve"> and a few of these were shorter papers</w:t>
      </w:r>
      <w:r w:rsidR="00DD264F">
        <w:rPr>
          <w:rFonts w:ascii="Times New Roman" w:hAnsi="Times New Roman" w:cs="Times New Roman"/>
          <w:sz w:val="24"/>
          <w:szCs w:val="24"/>
        </w:rPr>
        <w:t>,</w:t>
      </w:r>
      <w:r w:rsidR="00632F5D">
        <w:rPr>
          <w:rFonts w:ascii="Times New Roman" w:hAnsi="Times New Roman" w:cs="Times New Roman"/>
          <w:sz w:val="24"/>
          <w:szCs w:val="24"/>
        </w:rPr>
        <w:t xml:space="preserve"> while students taking English 10 submitted the final paper</w:t>
      </w:r>
      <w:r w:rsidR="00DD264F">
        <w:rPr>
          <w:rFonts w:ascii="Times New Roman" w:hAnsi="Times New Roman" w:cs="Times New Roman"/>
          <w:sz w:val="24"/>
          <w:szCs w:val="24"/>
        </w:rPr>
        <w:t>,</w:t>
      </w:r>
      <w:r w:rsidR="00632F5D">
        <w:rPr>
          <w:rFonts w:ascii="Times New Roman" w:hAnsi="Times New Roman" w:cs="Times New Roman"/>
          <w:sz w:val="24"/>
          <w:szCs w:val="24"/>
        </w:rPr>
        <w:t xml:space="preserve"> which required a research element and argum</w:t>
      </w:r>
      <w:r w:rsidR="00FF7C58">
        <w:rPr>
          <w:rFonts w:ascii="Times New Roman" w:hAnsi="Times New Roman" w:cs="Times New Roman"/>
          <w:sz w:val="24"/>
          <w:szCs w:val="24"/>
        </w:rPr>
        <w:t>ent. Some sections of English 5B</w:t>
      </w:r>
      <w:r w:rsidR="00632F5D">
        <w:rPr>
          <w:rFonts w:ascii="Times New Roman" w:hAnsi="Times New Roman" w:cs="Times New Roman"/>
          <w:sz w:val="24"/>
          <w:szCs w:val="24"/>
        </w:rPr>
        <w:t xml:space="preserve"> and 10 required students to submit their portfolio</w:t>
      </w:r>
      <w:r w:rsidR="00DD264F">
        <w:rPr>
          <w:rFonts w:ascii="Times New Roman" w:hAnsi="Times New Roman" w:cs="Times New Roman"/>
          <w:sz w:val="24"/>
          <w:szCs w:val="24"/>
        </w:rPr>
        <w:t>,</w:t>
      </w:r>
      <w:r w:rsidR="00632F5D">
        <w:rPr>
          <w:rFonts w:ascii="Times New Roman" w:hAnsi="Times New Roman" w:cs="Times New Roman"/>
          <w:sz w:val="24"/>
          <w:szCs w:val="24"/>
        </w:rPr>
        <w:t xml:space="preserve"> which included several different essays and a reflective essay that focused on what they learned through the writing process. All of the pap</w:t>
      </w:r>
      <w:r w:rsidR="00FF7C58">
        <w:rPr>
          <w:rFonts w:ascii="Times New Roman" w:hAnsi="Times New Roman" w:cs="Times New Roman"/>
          <w:sz w:val="24"/>
          <w:szCs w:val="24"/>
        </w:rPr>
        <w:t>ers submitted and evaluated</w:t>
      </w:r>
      <w:r w:rsidR="00714265">
        <w:rPr>
          <w:rFonts w:ascii="Times New Roman" w:hAnsi="Times New Roman" w:cs="Times New Roman"/>
          <w:sz w:val="24"/>
          <w:szCs w:val="24"/>
        </w:rPr>
        <w:t xml:space="preserve"> required an introduction and distinct </w:t>
      </w:r>
      <w:r w:rsidR="003606D1">
        <w:rPr>
          <w:rFonts w:ascii="Times New Roman" w:hAnsi="Times New Roman" w:cs="Times New Roman"/>
          <w:sz w:val="24"/>
          <w:szCs w:val="24"/>
        </w:rPr>
        <w:t xml:space="preserve">supporting </w:t>
      </w:r>
      <w:r w:rsidR="00714265">
        <w:rPr>
          <w:rFonts w:ascii="Times New Roman" w:hAnsi="Times New Roman" w:cs="Times New Roman"/>
          <w:sz w:val="24"/>
          <w:szCs w:val="24"/>
        </w:rPr>
        <w:t xml:space="preserve">points, </w:t>
      </w:r>
      <w:r w:rsidR="00632F5D">
        <w:rPr>
          <w:rFonts w:ascii="Times New Roman" w:hAnsi="Times New Roman" w:cs="Times New Roman"/>
          <w:sz w:val="24"/>
          <w:szCs w:val="24"/>
        </w:rPr>
        <w:t>and required references to one or more sources</w:t>
      </w:r>
      <w:r w:rsidR="00714265">
        <w:rPr>
          <w:rFonts w:ascii="Times New Roman" w:hAnsi="Times New Roman" w:cs="Times New Roman"/>
          <w:sz w:val="24"/>
          <w:szCs w:val="24"/>
        </w:rPr>
        <w:t>. Writing assignments are</w:t>
      </w:r>
      <w:r w:rsidR="00FF7C58">
        <w:rPr>
          <w:rFonts w:ascii="Times New Roman" w:hAnsi="Times New Roman" w:cs="Times New Roman"/>
          <w:sz w:val="24"/>
          <w:szCs w:val="24"/>
        </w:rPr>
        <w:t xml:space="preserve"> standard across the English first year writing courses that count for GE requirements and thus</w:t>
      </w:r>
      <w:r w:rsidR="00772D00">
        <w:rPr>
          <w:rFonts w:ascii="Times New Roman" w:hAnsi="Times New Roman" w:cs="Times New Roman"/>
          <w:sz w:val="24"/>
          <w:szCs w:val="24"/>
        </w:rPr>
        <w:t xml:space="preserve"> assignments of</w:t>
      </w:r>
      <w:r w:rsidR="00714265">
        <w:rPr>
          <w:rFonts w:ascii="Times New Roman" w:hAnsi="Times New Roman" w:cs="Times New Roman"/>
          <w:sz w:val="24"/>
          <w:szCs w:val="24"/>
        </w:rPr>
        <w:t xml:space="preserve"> the same kind were reviewed for all three learning outcomes</w:t>
      </w:r>
      <w:r w:rsidR="00916858">
        <w:rPr>
          <w:rFonts w:ascii="Times New Roman" w:hAnsi="Times New Roman" w:cs="Times New Roman"/>
          <w:sz w:val="24"/>
          <w:szCs w:val="24"/>
        </w:rPr>
        <w:t>.</w:t>
      </w:r>
      <w:r w:rsidR="00714265">
        <w:rPr>
          <w:rFonts w:ascii="Times New Roman" w:hAnsi="Times New Roman" w:cs="Times New Roman"/>
          <w:sz w:val="24"/>
          <w:szCs w:val="24"/>
        </w:rPr>
        <w:t xml:space="preserve"> </w:t>
      </w:r>
      <w:r w:rsidR="00916858">
        <w:rPr>
          <w:rFonts w:ascii="Times New Roman" w:hAnsi="Times New Roman" w:cs="Times New Roman"/>
          <w:sz w:val="24"/>
          <w:szCs w:val="24"/>
        </w:rPr>
        <w:t>The</w:t>
      </w:r>
      <w:r w:rsidR="00714265">
        <w:rPr>
          <w:rFonts w:ascii="Times New Roman" w:hAnsi="Times New Roman" w:cs="Times New Roman"/>
          <w:sz w:val="24"/>
          <w:szCs w:val="24"/>
        </w:rPr>
        <w:t xml:space="preserve"> only </w:t>
      </w:r>
      <w:r w:rsidR="004E0646">
        <w:rPr>
          <w:rFonts w:ascii="Times New Roman" w:hAnsi="Times New Roman" w:cs="Times New Roman"/>
          <w:sz w:val="24"/>
          <w:szCs w:val="24"/>
        </w:rPr>
        <w:t>appreciable</w:t>
      </w:r>
      <w:r w:rsidR="00714265">
        <w:rPr>
          <w:rFonts w:ascii="Times New Roman" w:hAnsi="Times New Roman" w:cs="Times New Roman"/>
          <w:sz w:val="24"/>
          <w:szCs w:val="24"/>
        </w:rPr>
        <w:t xml:space="preserve"> difference in submissions from students who had different professors was in the topic of the essays or research papers. </w:t>
      </w:r>
    </w:p>
    <w:p w14:paraId="0FD06A95" w14:textId="77777777" w:rsidR="00BB5DE5" w:rsidRDefault="00BB5DE5" w:rsidP="005D004D">
      <w:pPr>
        <w:spacing w:after="0" w:line="240" w:lineRule="auto"/>
        <w:rPr>
          <w:rFonts w:ascii="Times New Roman" w:eastAsia="Times New Roman" w:hAnsi="Times New Roman" w:cs="Times New Roman"/>
          <w:sz w:val="24"/>
          <w:szCs w:val="24"/>
        </w:rPr>
      </w:pPr>
      <w:r w:rsidRPr="00BB5DE5">
        <w:rPr>
          <w:rFonts w:ascii="Times New Roman" w:eastAsia="Times New Roman" w:hAnsi="Times New Roman" w:cs="Times New Roman"/>
          <w:sz w:val="24"/>
          <w:szCs w:val="24"/>
        </w:rPr>
        <w:t>Review Process:</w:t>
      </w:r>
    </w:p>
    <w:p w14:paraId="49959871" w14:textId="77777777" w:rsidR="005D004D" w:rsidRPr="005D004D" w:rsidRDefault="005D004D" w:rsidP="005D004D">
      <w:pPr>
        <w:spacing w:after="0" w:line="240" w:lineRule="auto"/>
        <w:rPr>
          <w:rFonts w:ascii="Times New Roman" w:eastAsia="Times New Roman" w:hAnsi="Times New Roman" w:cs="Times New Roman"/>
          <w:sz w:val="24"/>
          <w:szCs w:val="24"/>
        </w:rPr>
      </w:pPr>
    </w:p>
    <w:p w14:paraId="0B05F761" w14:textId="423CF3F8" w:rsidR="004E0EA3" w:rsidRDefault="000455A5" w:rsidP="00BB5DE5">
      <w:pPr>
        <w:rPr>
          <w:rFonts w:ascii="Times New Roman" w:hAnsi="Times New Roman" w:cs="Times New Roman"/>
          <w:sz w:val="24"/>
          <w:szCs w:val="24"/>
        </w:rPr>
      </w:pPr>
      <w:r>
        <w:rPr>
          <w:rFonts w:ascii="Times New Roman" w:hAnsi="Times New Roman" w:cs="Times New Roman"/>
          <w:sz w:val="24"/>
          <w:szCs w:val="24"/>
        </w:rPr>
        <w:t xml:space="preserve">Approximately thirty </w:t>
      </w:r>
      <w:r w:rsidR="005D004D">
        <w:rPr>
          <w:rFonts w:ascii="Times New Roman" w:hAnsi="Times New Roman" w:cs="Times New Roman"/>
          <w:sz w:val="24"/>
          <w:szCs w:val="24"/>
        </w:rPr>
        <w:t xml:space="preserve">papers were reviewed for each of the three student learning outcomes for GE Area A2. Each of the papers in the random sample selected was evaluated for only one of the </w:t>
      </w:r>
      <w:r w:rsidR="005D004D">
        <w:rPr>
          <w:rFonts w:ascii="Times New Roman" w:hAnsi="Times New Roman" w:cs="Times New Roman"/>
          <w:sz w:val="24"/>
          <w:szCs w:val="24"/>
        </w:rPr>
        <w:lastRenderedPageBreak/>
        <w:t xml:space="preserve">three learning outcomes for GE Area A2. The papers submitted aligned very well with outcome one on basic writing </w:t>
      </w:r>
      <w:r w:rsidR="00054E79">
        <w:rPr>
          <w:rFonts w:ascii="Times New Roman" w:hAnsi="Times New Roman" w:cs="Times New Roman"/>
          <w:sz w:val="24"/>
          <w:szCs w:val="24"/>
        </w:rPr>
        <w:t xml:space="preserve">proficiency, as well as </w:t>
      </w:r>
      <w:r w:rsidR="00427C6E">
        <w:rPr>
          <w:rFonts w:ascii="Times New Roman" w:hAnsi="Times New Roman" w:cs="Times New Roman"/>
          <w:sz w:val="24"/>
          <w:szCs w:val="24"/>
        </w:rPr>
        <w:t>with o</w:t>
      </w:r>
      <w:r w:rsidR="005D004D">
        <w:rPr>
          <w:rFonts w:ascii="Times New Roman" w:hAnsi="Times New Roman" w:cs="Times New Roman"/>
          <w:sz w:val="24"/>
          <w:szCs w:val="24"/>
        </w:rPr>
        <w:t xml:space="preserve">utcome three on rhetorical awareness and perception and analysis and synthesis of information. The </w:t>
      </w:r>
      <w:r w:rsidR="002F2F39">
        <w:rPr>
          <w:rFonts w:ascii="Times New Roman" w:hAnsi="Times New Roman" w:cs="Times New Roman"/>
          <w:sz w:val="24"/>
          <w:szCs w:val="24"/>
        </w:rPr>
        <w:t>papers submitted also aligned with</w:t>
      </w:r>
      <w:r w:rsidR="005D004D">
        <w:rPr>
          <w:rFonts w:ascii="Times New Roman" w:hAnsi="Times New Roman" w:cs="Times New Roman"/>
          <w:sz w:val="24"/>
          <w:szCs w:val="24"/>
        </w:rPr>
        <w:t xml:space="preserve"> outcome two </w:t>
      </w:r>
      <w:r w:rsidR="008239A7">
        <w:rPr>
          <w:rFonts w:ascii="Times New Roman" w:hAnsi="Times New Roman" w:cs="Times New Roman"/>
          <w:sz w:val="24"/>
          <w:szCs w:val="24"/>
        </w:rPr>
        <w:t>relatively well. Due to extensive time and coordination of schedules, i</w:t>
      </w:r>
      <w:r w:rsidR="005D004D">
        <w:rPr>
          <w:rFonts w:ascii="Times New Roman" w:hAnsi="Times New Roman" w:cs="Times New Roman"/>
          <w:sz w:val="24"/>
          <w:szCs w:val="24"/>
        </w:rPr>
        <w:t xml:space="preserve">t was NOT possible to evaluate the outcome through direct observation of </w:t>
      </w:r>
      <w:r w:rsidR="00523FC9">
        <w:rPr>
          <w:rFonts w:ascii="Times New Roman" w:hAnsi="Times New Roman" w:cs="Times New Roman"/>
          <w:sz w:val="24"/>
          <w:szCs w:val="24"/>
        </w:rPr>
        <w:t xml:space="preserve">the </w:t>
      </w:r>
      <w:r w:rsidR="005D004D">
        <w:rPr>
          <w:rFonts w:ascii="Times New Roman" w:hAnsi="Times New Roman" w:cs="Times New Roman"/>
          <w:sz w:val="24"/>
          <w:szCs w:val="24"/>
        </w:rPr>
        <w:t xml:space="preserve">class or of academic reading strategies as applied by students. However, </w:t>
      </w:r>
      <w:r w:rsidR="00F5105E">
        <w:rPr>
          <w:rFonts w:ascii="Times New Roman" w:hAnsi="Times New Roman" w:cs="Times New Roman"/>
          <w:sz w:val="24"/>
          <w:szCs w:val="24"/>
        </w:rPr>
        <w:t>one of the assigned papers in English required students to demonstrate their understanding (which they acquired by applying reading strategies and processes) in order to identify key points from specific articles. Since this assignment required students to apply reading strategies</w:t>
      </w:r>
      <w:r w:rsidR="00054E79">
        <w:rPr>
          <w:rFonts w:ascii="Times New Roman" w:hAnsi="Times New Roman" w:cs="Times New Roman"/>
          <w:sz w:val="24"/>
          <w:szCs w:val="24"/>
        </w:rPr>
        <w:t>,</w:t>
      </w:r>
      <w:r w:rsidR="00F5105E">
        <w:rPr>
          <w:rFonts w:ascii="Times New Roman" w:hAnsi="Times New Roman" w:cs="Times New Roman"/>
          <w:sz w:val="24"/>
          <w:szCs w:val="24"/>
        </w:rPr>
        <w:t xml:space="preserve"> it was used to evaluate outcome two. </w:t>
      </w:r>
    </w:p>
    <w:p w14:paraId="7EEFECEC" w14:textId="47CBC8C2" w:rsidR="00BB5DE5" w:rsidRPr="00BB5DE5" w:rsidRDefault="00546967" w:rsidP="00BB5DE5">
      <w:pPr>
        <w:spacing w:line="259" w:lineRule="auto"/>
        <w:rPr>
          <w:rFonts w:ascii="Times New Roman" w:hAnsi="Times New Roman" w:cs="Times New Roman"/>
          <w:b/>
          <w:sz w:val="28"/>
          <w:szCs w:val="28"/>
        </w:rPr>
      </w:pPr>
      <w:r>
        <w:rPr>
          <w:rFonts w:ascii="Times New Roman" w:hAnsi="Times New Roman" w:cs="Times New Roman"/>
          <w:b/>
          <w:sz w:val="28"/>
          <w:szCs w:val="28"/>
        </w:rPr>
        <w:t>Results for Outcomes A2</w:t>
      </w:r>
      <w:r w:rsidR="00BB5DE5" w:rsidRPr="00BB5DE5">
        <w:rPr>
          <w:rFonts w:ascii="Times New Roman" w:hAnsi="Times New Roman" w:cs="Times New Roman"/>
          <w:b/>
          <w:sz w:val="28"/>
          <w:szCs w:val="28"/>
        </w:rPr>
        <w:t xml:space="preserve"> o</w:t>
      </w:r>
      <w:r>
        <w:rPr>
          <w:rFonts w:ascii="Times New Roman" w:hAnsi="Times New Roman" w:cs="Times New Roman"/>
          <w:b/>
          <w:sz w:val="28"/>
          <w:szCs w:val="28"/>
        </w:rPr>
        <w:t>utcome 1, A2 outcome 2, A2</w:t>
      </w:r>
      <w:r w:rsidR="00BB5DE5" w:rsidRPr="00BB5DE5">
        <w:rPr>
          <w:rFonts w:ascii="Times New Roman" w:hAnsi="Times New Roman" w:cs="Times New Roman"/>
          <w:b/>
          <w:sz w:val="28"/>
          <w:szCs w:val="28"/>
        </w:rPr>
        <w:t xml:space="preserve"> outcome 3 </w:t>
      </w:r>
    </w:p>
    <w:p w14:paraId="6481759E" w14:textId="0C2725AD" w:rsidR="005A1AB2" w:rsidRDefault="000455A5" w:rsidP="00BB5DE5">
      <w:pPr>
        <w:rPr>
          <w:rFonts w:ascii="Times New Roman" w:hAnsi="Times New Roman" w:cs="Times New Roman"/>
          <w:sz w:val="24"/>
          <w:szCs w:val="24"/>
        </w:rPr>
      </w:pPr>
      <w:r>
        <w:rPr>
          <w:rFonts w:ascii="Times New Roman" w:hAnsi="Times New Roman" w:cs="Times New Roman"/>
          <w:sz w:val="24"/>
          <w:szCs w:val="24"/>
        </w:rPr>
        <w:t>All of the rubrics for the GE outcomes for A2 were holistic and therefore consisted of a single</w:t>
      </w:r>
      <w:r w:rsidR="00705263">
        <w:rPr>
          <w:rFonts w:ascii="Times New Roman" w:hAnsi="Times New Roman" w:cs="Times New Roman"/>
          <w:sz w:val="24"/>
          <w:szCs w:val="24"/>
        </w:rPr>
        <w:t xml:space="preserve"> </w:t>
      </w:r>
      <w:r w:rsidR="00DB4305" w:rsidRPr="00DB4305">
        <w:rPr>
          <w:rFonts w:ascii="Times New Roman" w:hAnsi="Times New Roman" w:cs="Times New Roman"/>
          <w:sz w:val="24"/>
          <w:szCs w:val="24"/>
        </w:rPr>
        <w:t>criterion</w:t>
      </w:r>
      <w:r>
        <w:rPr>
          <w:rFonts w:ascii="Times New Roman" w:hAnsi="Times New Roman" w:cs="Times New Roman"/>
          <w:sz w:val="24"/>
          <w:szCs w:val="24"/>
        </w:rPr>
        <w:t xml:space="preserve"> with several components. The overall results confirm that students are proficient in basic writing skills</w:t>
      </w:r>
      <w:r w:rsidR="001C5063">
        <w:rPr>
          <w:rFonts w:ascii="Times New Roman" w:hAnsi="Times New Roman" w:cs="Times New Roman"/>
          <w:sz w:val="24"/>
          <w:szCs w:val="24"/>
        </w:rPr>
        <w:t xml:space="preserve">, with an average of 94% </w:t>
      </w:r>
      <w:proofErr w:type="spellStart"/>
      <w:r w:rsidR="001C5063">
        <w:rPr>
          <w:rFonts w:ascii="Times New Roman" w:hAnsi="Times New Roman" w:cs="Times New Roman"/>
          <w:sz w:val="24"/>
          <w:szCs w:val="24"/>
        </w:rPr>
        <w:t>proficienct</w:t>
      </w:r>
      <w:proofErr w:type="spellEnd"/>
      <w:r w:rsidR="001C5063">
        <w:rPr>
          <w:rFonts w:ascii="Times New Roman" w:hAnsi="Times New Roman" w:cs="Times New Roman"/>
          <w:sz w:val="24"/>
          <w:szCs w:val="24"/>
        </w:rPr>
        <w:t xml:space="preserve"> across the three outcomes</w:t>
      </w:r>
      <w:r>
        <w:rPr>
          <w:rFonts w:ascii="Times New Roman" w:hAnsi="Times New Roman" w:cs="Times New Roman"/>
          <w:sz w:val="24"/>
          <w:szCs w:val="24"/>
        </w:rPr>
        <w:t>.</w:t>
      </w:r>
      <w:r w:rsidR="001C5063">
        <w:rPr>
          <w:rFonts w:ascii="Times New Roman" w:hAnsi="Times New Roman" w:cs="Times New Roman"/>
          <w:sz w:val="24"/>
          <w:szCs w:val="24"/>
        </w:rPr>
        <w:t xml:space="preserve"> (See Table 1)</w:t>
      </w:r>
      <w:r>
        <w:rPr>
          <w:rFonts w:ascii="Times New Roman" w:hAnsi="Times New Roman" w:cs="Times New Roman"/>
          <w:sz w:val="24"/>
          <w:szCs w:val="24"/>
        </w:rPr>
        <w:t xml:space="preserve"> For A2 outcome 1</w:t>
      </w:r>
      <w:r w:rsidR="0065670D">
        <w:rPr>
          <w:rFonts w:ascii="Times New Roman" w:hAnsi="Times New Roman" w:cs="Times New Roman"/>
          <w:sz w:val="24"/>
          <w:szCs w:val="24"/>
        </w:rPr>
        <w:t>,</w:t>
      </w:r>
      <w:r>
        <w:rPr>
          <w:rFonts w:ascii="Times New Roman" w:hAnsi="Times New Roman" w:cs="Times New Roman"/>
          <w:sz w:val="24"/>
          <w:szCs w:val="24"/>
        </w:rPr>
        <w:t xml:space="preserve"> thirty</w:t>
      </w:r>
      <w:r w:rsidR="0065670D">
        <w:rPr>
          <w:rFonts w:ascii="Times New Roman" w:hAnsi="Times New Roman" w:cs="Times New Roman"/>
          <w:sz w:val="24"/>
          <w:szCs w:val="24"/>
        </w:rPr>
        <w:t>-</w:t>
      </w:r>
      <w:r>
        <w:rPr>
          <w:rFonts w:ascii="Times New Roman" w:hAnsi="Times New Roman" w:cs="Times New Roman"/>
          <w:sz w:val="24"/>
          <w:szCs w:val="24"/>
        </w:rPr>
        <w:t>one student papers were evaluated and 28 (</w:t>
      </w:r>
      <w:r w:rsidR="001C5063">
        <w:rPr>
          <w:rFonts w:ascii="Times New Roman" w:hAnsi="Times New Roman" w:cs="Times New Roman"/>
          <w:sz w:val="24"/>
          <w:szCs w:val="24"/>
        </w:rPr>
        <w:t>90.3</w:t>
      </w:r>
      <w:r>
        <w:rPr>
          <w:rFonts w:ascii="Times New Roman" w:hAnsi="Times New Roman" w:cs="Times New Roman"/>
          <w:sz w:val="24"/>
          <w:szCs w:val="24"/>
        </w:rPr>
        <w:t xml:space="preserve">%) were deemed proficient. The comments indicate that most papers make clear statements and </w:t>
      </w:r>
      <w:r w:rsidR="00FE4918">
        <w:rPr>
          <w:rFonts w:ascii="Times New Roman" w:hAnsi="Times New Roman" w:cs="Times New Roman"/>
          <w:sz w:val="24"/>
          <w:szCs w:val="24"/>
        </w:rPr>
        <w:t>have</w:t>
      </w:r>
      <w:r>
        <w:rPr>
          <w:rFonts w:ascii="Times New Roman" w:hAnsi="Times New Roman" w:cs="Times New Roman"/>
          <w:sz w:val="24"/>
          <w:szCs w:val="24"/>
        </w:rPr>
        <w:t xml:space="preserve"> only minor grammatical errors. The comments on the three papers that were deemed </w:t>
      </w:r>
      <w:r w:rsidR="0065670D">
        <w:rPr>
          <w:rFonts w:ascii="Times New Roman" w:hAnsi="Times New Roman" w:cs="Times New Roman"/>
          <w:sz w:val="24"/>
          <w:szCs w:val="24"/>
        </w:rPr>
        <w:t xml:space="preserve">not </w:t>
      </w:r>
      <w:r w:rsidR="00625C28">
        <w:rPr>
          <w:rFonts w:ascii="Times New Roman" w:hAnsi="Times New Roman" w:cs="Times New Roman"/>
          <w:sz w:val="24"/>
          <w:szCs w:val="24"/>
        </w:rPr>
        <w:t xml:space="preserve">proficient emphasize that sentence </w:t>
      </w:r>
      <w:r>
        <w:rPr>
          <w:rFonts w:ascii="Times New Roman" w:hAnsi="Times New Roman" w:cs="Times New Roman"/>
          <w:sz w:val="24"/>
          <w:szCs w:val="24"/>
        </w:rPr>
        <w:t xml:space="preserve">meaning </w:t>
      </w:r>
      <w:r w:rsidR="00625C28">
        <w:rPr>
          <w:rFonts w:ascii="Times New Roman" w:hAnsi="Times New Roman" w:cs="Times New Roman"/>
          <w:sz w:val="24"/>
          <w:szCs w:val="24"/>
        </w:rPr>
        <w:t>is</w:t>
      </w:r>
      <w:r>
        <w:rPr>
          <w:rFonts w:ascii="Times New Roman" w:hAnsi="Times New Roman" w:cs="Times New Roman"/>
          <w:sz w:val="24"/>
          <w:szCs w:val="24"/>
        </w:rPr>
        <w:t xml:space="preserve"> not clear and that </w:t>
      </w:r>
      <w:r w:rsidR="0065670D">
        <w:rPr>
          <w:rFonts w:ascii="Times New Roman" w:hAnsi="Times New Roman" w:cs="Times New Roman"/>
          <w:sz w:val="24"/>
          <w:szCs w:val="24"/>
        </w:rPr>
        <w:t>sentence structure is</w:t>
      </w:r>
      <w:r>
        <w:rPr>
          <w:rFonts w:ascii="Times New Roman" w:hAnsi="Times New Roman" w:cs="Times New Roman"/>
          <w:sz w:val="24"/>
          <w:szCs w:val="24"/>
        </w:rPr>
        <w:t xml:space="preserve"> problematic. For A2 outcome 2</w:t>
      </w:r>
      <w:r w:rsidR="00BF5223">
        <w:rPr>
          <w:rFonts w:ascii="Times New Roman" w:hAnsi="Times New Roman" w:cs="Times New Roman"/>
          <w:sz w:val="24"/>
          <w:szCs w:val="24"/>
        </w:rPr>
        <w:t>,</w:t>
      </w:r>
      <w:r>
        <w:rPr>
          <w:rFonts w:ascii="Times New Roman" w:hAnsi="Times New Roman" w:cs="Times New Roman"/>
          <w:sz w:val="24"/>
          <w:szCs w:val="24"/>
        </w:rPr>
        <w:t xml:space="preserve"> a total of thirty-six student papers were evaluated and </w:t>
      </w:r>
      <w:r w:rsidR="00FF7C03">
        <w:rPr>
          <w:rFonts w:ascii="Times New Roman" w:hAnsi="Times New Roman" w:cs="Times New Roman"/>
          <w:sz w:val="24"/>
          <w:szCs w:val="24"/>
        </w:rPr>
        <w:t>thirty-three</w:t>
      </w:r>
      <w:r>
        <w:rPr>
          <w:rFonts w:ascii="Times New Roman" w:hAnsi="Times New Roman" w:cs="Times New Roman"/>
          <w:sz w:val="24"/>
          <w:szCs w:val="24"/>
        </w:rPr>
        <w:t xml:space="preserve"> (9</w:t>
      </w:r>
      <w:r w:rsidR="001C5063">
        <w:rPr>
          <w:rFonts w:ascii="Times New Roman" w:hAnsi="Times New Roman" w:cs="Times New Roman"/>
          <w:sz w:val="24"/>
          <w:szCs w:val="24"/>
        </w:rPr>
        <w:t>1.7</w:t>
      </w:r>
      <w:r>
        <w:rPr>
          <w:rFonts w:ascii="Times New Roman" w:hAnsi="Times New Roman" w:cs="Times New Roman"/>
          <w:sz w:val="24"/>
          <w:szCs w:val="24"/>
        </w:rPr>
        <w:t>%) were deemed proficient while three</w:t>
      </w:r>
      <w:r w:rsidR="001C5063">
        <w:rPr>
          <w:rFonts w:ascii="Times New Roman" w:hAnsi="Times New Roman" w:cs="Times New Roman"/>
          <w:sz w:val="24"/>
          <w:szCs w:val="24"/>
        </w:rPr>
        <w:t xml:space="preserve"> (8.3%)</w:t>
      </w:r>
      <w:r>
        <w:rPr>
          <w:rFonts w:ascii="Times New Roman" w:hAnsi="Times New Roman" w:cs="Times New Roman"/>
          <w:sz w:val="24"/>
          <w:szCs w:val="24"/>
        </w:rPr>
        <w:t xml:space="preserve"> were not proficient. The comments </w:t>
      </w:r>
      <w:r w:rsidR="00CE570F">
        <w:rPr>
          <w:rFonts w:ascii="Times New Roman" w:hAnsi="Times New Roman" w:cs="Times New Roman"/>
          <w:sz w:val="24"/>
          <w:szCs w:val="24"/>
        </w:rPr>
        <w:t>note</w:t>
      </w:r>
      <w:r>
        <w:rPr>
          <w:rFonts w:ascii="Times New Roman" w:hAnsi="Times New Roman" w:cs="Times New Roman"/>
          <w:sz w:val="24"/>
          <w:szCs w:val="24"/>
        </w:rPr>
        <w:t xml:space="preserve"> that the students have identified and clearly stated the main arguments and central claims of the text. For A2 outcome 3, a total of thirty-two student papers were evaluated and </w:t>
      </w:r>
      <w:r w:rsidR="00E477FE">
        <w:rPr>
          <w:rFonts w:ascii="Times New Roman" w:hAnsi="Times New Roman" w:cs="Times New Roman"/>
          <w:sz w:val="24"/>
          <w:szCs w:val="24"/>
        </w:rPr>
        <w:t>all thirty</w:t>
      </w:r>
      <w:r w:rsidR="00872985">
        <w:rPr>
          <w:rFonts w:ascii="Times New Roman" w:hAnsi="Times New Roman" w:cs="Times New Roman"/>
          <w:sz w:val="24"/>
          <w:szCs w:val="24"/>
        </w:rPr>
        <w:t>-</w:t>
      </w:r>
      <w:r w:rsidR="00E477FE">
        <w:rPr>
          <w:rFonts w:ascii="Times New Roman" w:hAnsi="Times New Roman" w:cs="Times New Roman"/>
          <w:sz w:val="24"/>
          <w:szCs w:val="24"/>
        </w:rPr>
        <w:t>two students</w:t>
      </w:r>
      <w:r w:rsidR="001C5063">
        <w:rPr>
          <w:rFonts w:ascii="Times New Roman" w:hAnsi="Times New Roman" w:cs="Times New Roman"/>
          <w:sz w:val="24"/>
          <w:szCs w:val="24"/>
        </w:rPr>
        <w:t xml:space="preserve"> (100%)</w:t>
      </w:r>
      <w:r w:rsidR="00E477FE">
        <w:rPr>
          <w:rFonts w:ascii="Times New Roman" w:hAnsi="Times New Roman" w:cs="Times New Roman"/>
          <w:sz w:val="24"/>
          <w:szCs w:val="24"/>
        </w:rPr>
        <w:t xml:space="preserve"> were deemed proficient. The comments emphasize that the students have </w:t>
      </w:r>
      <w:r w:rsidR="00872985">
        <w:rPr>
          <w:rFonts w:ascii="Times New Roman" w:hAnsi="Times New Roman" w:cs="Times New Roman"/>
          <w:sz w:val="24"/>
          <w:szCs w:val="24"/>
        </w:rPr>
        <w:t>met the desired outcome.</w:t>
      </w:r>
    </w:p>
    <w:p w14:paraId="795BBEBC" w14:textId="20C636CA" w:rsidR="001C5063" w:rsidRPr="005A1AB2" w:rsidRDefault="005A1AB2" w:rsidP="005A1AB2">
      <w:pPr>
        <w:spacing w:after="0" w:line="257" w:lineRule="auto"/>
        <w:contextualSpacing/>
        <w:rPr>
          <w:rFonts w:ascii="Times New Roman" w:hAnsi="Times New Roman" w:cs="Times New Roman"/>
          <w:b/>
          <w:bCs/>
          <w:sz w:val="24"/>
          <w:szCs w:val="24"/>
        </w:rPr>
      </w:pPr>
      <w:r w:rsidRPr="005A1AB2">
        <w:rPr>
          <w:rFonts w:ascii="Times New Roman" w:hAnsi="Times New Roman" w:cs="Times New Roman"/>
          <w:b/>
          <w:bCs/>
          <w:sz w:val="24"/>
          <w:szCs w:val="24"/>
        </w:rPr>
        <w:t>Table 1. Student Proficiency and Inter-rater Reliability Averages for GE Area A2</w:t>
      </w:r>
    </w:p>
    <w:tbl>
      <w:tblPr>
        <w:tblStyle w:val="GridTable3-Accent31"/>
        <w:tblW w:w="0" w:type="auto"/>
        <w:tblLook w:val="04A0" w:firstRow="1" w:lastRow="0" w:firstColumn="1" w:lastColumn="0" w:noHBand="0" w:noVBand="1"/>
      </w:tblPr>
      <w:tblGrid>
        <w:gridCol w:w="1870"/>
        <w:gridCol w:w="1870"/>
        <w:gridCol w:w="1870"/>
        <w:gridCol w:w="1870"/>
        <w:gridCol w:w="1870"/>
      </w:tblGrid>
      <w:tr w:rsidR="001C5063" w14:paraId="58702456" w14:textId="77777777" w:rsidTr="005A1A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Borders>
              <w:top w:val="thinThickMediumGap" w:sz="24" w:space="0" w:color="000000" w:themeColor="text1"/>
              <w:bottom w:val="single" w:sz="4" w:space="0" w:color="000000" w:themeColor="text1"/>
            </w:tcBorders>
          </w:tcPr>
          <w:p w14:paraId="030C7109" w14:textId="77777777" w:rsidR="001C5063" w:rsidRDefault="001C5063" w:rsidP="001C5063">
            <w:pPr>
              <w:rPr>
                <w:rFonts w:ascii="Times New Roman" w:hAnsi="Times New Roman" w:cs="Times New Roman"/>
                <w:sz w:val="24"/>
                <w:szCs w:val="24"/>
              </w:rPr>
            </w:pPr>
          </w:p>
        </w:tc>
        <w:tc>
          <w:tcPr>
            <w:tcW w:w="1870" w:type="dxa"/>
            <w:tcBorders>
              <w:top w:val="thinThickMediumGap" w:sz="24" w:space="0" w:color="000000" w:themeColor="text1"/>
              <w:bottom w:val="single" w:sz="4" w:space="0" w:color="000000" w:themeColor="text1"/>
            </w:tcBorders>
          </w:tcPr>
          <w:p w14:paraId="0F590D03" w14:textId="01919B37" w:rsidR="001C5063" w:rsidRPr="001C5063" w:rsidRDefault="001C5063" w:rsidP="001C5063">
            <w:pPr>
              <w:tabs>
                <w:tab w:val="decimal" w:pos="89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5063">
              <w:rPr>
                <w:rFonts w:ascii="Calibri" w:hAnsi="Calibri" w:cs="Calibri"/>
                <w:color w:val="000000"/>
              </w:rPr>
              <w:t>A2.1</w:t>
            </w:r>
          </w:p>
        </w:tc>
        <w:tc>
          <w:tcPr>
            <w:tcW w:w="1870" w:type="dxa"/>
            <w:tcBorders>
              <w:top w:val="thinThickMediumGap" w:sz="24" w:space="0" w:color="000000" w:themeColor="text1"/>
              <w:bottom w:val="single" w:sz="4" w:space="0" w:color="000000" w:themeColor="text1"/>
            </w:tcBorders>
          </w:tcPr>
          <w:p w14:paraId="6654DC0B" w14:textId="711818AF" w:rsidR="001C5063" w:rsidRPr="001C5063" w:rsidRDefault="001C5063" w:rsidP="001C5063">
            <w:pPr>
              <w:tabs>
                <w:tab w:val="decimal" w:pos="89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5063">
              <w:rPr>
                <w:rFonts w:ascii="Calibri" w:hAnsi="Calibri" w:cs="Calibri"/>
                <w:color w:val="000000"/>
              </w:rPr>
              <w:t>A2.2</w:t>
            </w:r>
          </w:p>
        </w:tc>
        <w:tc>
          <w:tcPr>
            <w:tcW w:w="1870" w:type="dxa"/>
            <w:tcBorders>
              <w:top w:val="thinThickMediumGap" w:sz="24" w:space="0" w:color="000000" w:themeColor="text1"/>
              <w:bottom w:val="single" w:sz="4" w:space="0" w:color="000000" w:themeColor="text1"/>
            </w:tcBorders>
          </w:tcPr>
          <w:p w14:paraId="608A8C6D" w14:textId="4477E6D6" w:rsidR="001C5063" w:rsidRPr="001C5063" w:rsidRDefault="001C5063" w:rsidP="001C5063">
            <w:pPr>
              <w:tabs>
                <w:tab w:val="decimal" w:pos="899"/>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5063">
              <w:rPr>
                <w:rFonts w:ascii="Calibri" w:hAnsi="Calibri" w:cs="Calibri"/>
                <w:color w:val="000000"/>
              </w:rPr>
              <w:t>A2.3</w:t>
            </w:r>
          </w:p>
        </w:tc>
        <w:tc>
          <w:tcPr>
            <w:tcW w:w="1870" w:type="dxa"/>
            <w:tcBorders>
              <w:top w:val="thinThickMediumGap" w:sz="24" w:space="0" w:color="000000" w:themeColor="text1"/>
              <w:bottom w:val="single" w:sz="4" w:space="0" w:color="000000" w:themeColor="text1"/>
            </w:tcBorders>
          </w:tcPr>
          <w:p w14:paraId="3E3A2A28" w14:textId="46DF83EC" w:rsidR="001C5063" w:rsidRPr="001C5063" w:rsidRDefault="001C5063" w:rsidP="001C5063">
            <w:pPr>
              <w:tabs>
                <w:tab w:val="decimal" w:pos="899"/>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5063">
              <w:rPr>
                <w:rFonts w:ascii="Calibri" w:hAnsi="Calibri" w:cs="Calibri"/>
                <w:color w:val="000000"/>
              </w:rPr>
              <w:t>Overall A2</w:t>
            </w:r>
          </w:p>
        </w:tc>
      </w:tr>
      <w:tr w:rsidR="001C5063" w14:paraId="3D55A011" w14:textId="77777777" w:rsidTr="005A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000000" w:themeColor="text1"/>
              <w:right w:val="nil"/>
            </w:tcBorders>
          </w:tcPr>
          <w:p w14:paraId="612ECEFB" w14:textId="07D4C8F5" w:rsidR="001C5063" w:rsidRDefault="001C5063" w:rsidP="001C5063">
            <w:pPr>
              <w:rPr>
                <w:rFonts w:ascii="Times New Roman" w:hAnsi="Times New Roman" w:cs="Times New Roman"/>
                <w:sz w:val="24"/>
                <w:szCs w:val="24"/>
              </w:rPr>
            </w:pPr>
            <w:r>
              <w:rPr>
                <w:rFonts w:ascii="Calibri" w:hAnsi="Calibri" w:cs="Calibri"/>
                <w:color w:val="000000"/>
              </w:rPr>
              <w:t>Student Proficiency</w:t>
            </w:r>
          </w:p>
        </w:tc>
        <w:tc>
          <w:tcPr>
            <w:tcW w:w="1870" w:type="dxa"/>
            <w:tcBorders>
              <w:top w:val="single" w:sz="4" w:space="0" w:color="000000" w:themeColor="text1"/>
              <w:left w:val="nil"/>
              <w:bottom w:val="nil"/>
              <w:right w:val="nil"/>
            </w:tcBorders>
            <w:shd w:val="clear" w:color="auto" w:fill="FFFFFF" w:themeFill="background1"/>
          </w:tcPr>
          <w:p w14:paraId="5BC767EC" w14:textId="092E18C7" w:rsidR="001C5063" w:rsidRDefault="001C5063" w:rsidP="001C5063">
            <w:pPr>
              <w:tabs>
                <w:tab w:val="decimal" w:pos="89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90.3</w:t>
            </w:r>
          </w:p>
        </w:tc>
        <w:tc>
          <w:tcPr>
            <w:tcW w:w="1870" w:type="dxa"/>
            <w:tcBorders>
              <w:top w:val="single" w:sz="4" w:space="0" w:color="000000" w:themeColor="text1"/>
              <w:left w:val="nil"/>
              <w:bottom w:val="nil"/>
              <w:right w:val="nil"/>
            </w:tcBorders>
            <w:shd w:val="clear" w:color="auto" w:fill="FFFFFF" w:themeFill="background1"/>
          </w:tcPr>
          <w:p w14:paraId="0BEAA26D" w14:textId="48793F7E" w:rsidR="001C5063" w:rsidRDefault="001C5063" w:rsidP="001C5063">
            <w:pPr>
              <w:tabs>
                <w:tab w:val="decimal" w:pos="89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91.7</w:t>
            </w:r>
          </w:p>
        </w:tc>
        <w:tc>
          <w:tcPr>
            <w:tcW w:w="1870" w:type="dxa"/>
            <w:tcBorders>
              <w:top w:val="single" w:sz="4" w:space="0" w:color="000000" w:themeColor="text1"/>
              <w:left w:val="nil"/>
              <w:bottom w:val="nil"/>
              <w:right w:val="nil"/>
            </w:tcBorders>
            <w:shd w:val="clear" w:color="auto" w:fill="FFFFFF" w:themeFill="background1"/>
          </w:tcPr>
          <w:p w14:paraId="4365F355" w14:textId="6C695C0C" w:rsidR="001C5063" w:rsidRDefault="001C5063" w:rsidP="001C5063">
            <w:pPr>
              <w:tabs>
                <w:tab w:val="decimal" w:pos="89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100</w:t>
            </w:r>
            <w:r w:rsidR="0003763B">
              <w:rPr>
                <w:rFonts w:ascii="Calibri" w:hAnsi="Calibri" w:cs="Calibri"/>
                <w:color w:val="000000"/>
              </w:rPr>
              <w:t>.0</w:t>
            </w:r>
          </w:p>
        </w:tc>
        <w:tc>
          <w:tcPr>
            <w:tcW w:w="1870" w:type="dxa"/>
            <w:tcBorders>
              <w:top w:val="single" w:sz="4" w:space="0" w:color="000000" w:themeColor="text1"/>
              <w:left w:val="nil"/>
              <w:bottom w:val="nil"/>
              <w:right w:val="nil"/>
            </w:tcBorders>
            <w:shd w:val="clear" w:color="auto" w:fill="FFFFFF" w:themeFill="background1"/>
          </w:tcPr>
          <w:p w14:paraId="3934E583" w14:textId="2C0B4E19" w:rsidR="001C5063" w:rsidRDefault="001C5063" w:rsidP="001C5063">
            <w:pPr>
              <w:tabs>
                <w:tab w:val="decimal" w:pos="89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94</w:t>
            </w:r>
            <w:r w:rsidR="0003763B">
              <w:rPr>
                <w:rFonts w:ascii="Calibri" w:hAnsi="Calibri" w:cs="Calibri"/>
                <w:color w:val="000000"/>
              </w:rPr>
              <w:t>.0</w:t>
            </w:r>
          </w:p>
        </w:tc>
      </w:tr>
      <w:tr w:rsidR="001C5063" w14:paraId="1C56CF8C" w14:textId="77777777" w:rsidTr="005A1AB2">
        <w:tc>
          <w:tcPr>
            <w:cnfStyle w:val="001000000000" w:firstRow="0" w:lastRow="0" w:firstColumn="1" w:lastColumn="0" w:oddVBand="0" w:evenVBand="0" w:oddHBand="0" w:evenHBand="0" w:firstRowFirstColumn="0" w:firstRowLastColumn="0" w:lastRowFirstColumn="0" w:lastRowLastColumn="0"/>
            <w:tcW w:w="1870" w:type="dxa"/>
            <w:tcBorders>
              <w:bottom w:val="single" w:sz="4" w:space="0" w:color="000000" w:themeColor="text1"/>
              <w:right w:val="nil"/>
            </w:tcBorders>
          </w:tcPr>
          <w:p w14:paraId="20953214" w14:textId="77777777" w:rsidR="001C5063" w:rsidRDefault="001C5063" w:rsidP="001C5063">
            <w:pPr>
              <w:rPr>
                <w:rFonts w:ascii="Calibri" w:hAnsi="Calibri" w:cs="Calibri"/>
                <w:color w:val="000000"/>
              </w:rPr>
            </w:pPr>
            <w:r>
              <w:rPr>
                <w:rFonts w:ascii="Calibri" w:hAnsi="Calibri" w:cs="Calibri"/>
                <w:color w:val="000000"/>
              </w:rPr>
              <w:t>Inter-rater</w:t>
            </w:r>
          </w:p>
          <w:p w14:paraId="18EA7EF9" w14:textId="121A9365" w:rsidR="001C5063" w:rsidRDefault="001C5063" w:rsidP="001C5063">
            <w:pPr>
              <w:rPr>
                <w:rFonts w:ascii="Times New Roman" w:hAnsi="Times New Roman" w:cs="Times New Roman"/>
                <w:sz w:val="24"/>
                <w:szCs w:val="24"/>
              </w:rPr>
            </w:pPr>
            <w:r>
              <w:rPr>
                <w:rFonts w:ascii="Calibri" w:hAnsi="Calibri" w:cs="Calibri"/>
                <w:color w:val="000000"/>
              </w:rPr>
              <w:t>Reliability</w:t>
            </w:r>
          </w:p>
        </w:tc>
        <w:tc>
          <w:tcPr>
            <w:tcW w:w="1870" w:type="dxa"/>
            <w:tcBorders>
              <w:top w:val="nil"/>
              <w:left w:val="nil"/>
              <w:bottom w:val="single" w:sz="4" w:space="0" w:color="000000" w:themeColor="text1"/>
              <w:right w:val="nil"/>
            </w:tcBorders>
            <w:shd w:val="clear" w:color="auto" w:fill="FFFFFF" w:themeFill="background1"/>
          </w:tcPr>
          <w:p w14:paraId="7715E547" w14:textId="3EBD5904" w:rsidR="001C5063" w:rsidRDefault="001C5063" w:rsidP="001C5063">
            <w:pPr>
              <w:tabs>
                <w:tab w:val="decimal" w:pos="89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83.8</w:t>
            </w:r>
          </w:p>
        </w:tc>
        <w:tc>
          <w:tcPr>
            <w:tcW w:w="1870" w:type="dxa"/>
            <w:tcBorders>
              <w:top w:val="nil"/>
              <w:left w:val="nil"/>
              <w:bottom w:val="single" w:sz="4" w:space="0" w:color="000000" w:themeColor="text1"/>
              <w:right w:val="nil"/>
            </w:tcBorders>
            <w:shd w:val="clear" w:color="auto" w:fill="FFFFFF" w:themeFill="background1"/>
          </w:tcPr>
          <w:p w14:paraId="1E09D84B" w14:textId="010CD33C" w:rsidR="001C5063" w:rsidRDefault="001C5063" w:rsidP="001C5063">
            <w:pPr>
              <w:tabs>
                <w:tab w:val="decimal" w:pos="89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91.7</w:t>
            </w:r>
          </w:p>
        </w:tc>
        <w:tc>
          <w:tcPr>
            <w:tcW w:w="1870" w:type="dxa"/>
            <w:tcBorders>
              <w:top w:val="nil"/>
              <w:left w:val="nil"/>
              <w:bottom w:val="single" w:sz="4" w:space="0" w:color="000000" w:themeColor="text1"/>
              <w:right w:val="nil"/>
            </w:tcBorders>
            <w:shd w:val="clear" w:color="auto" w:fill="FFFFFF" w:themeFill="background1"/>
          </w:tcPr>
          <w:p w14:paraId="7ABB86B1" w14:textId="64106409" w:rsidR="001C5063" w:rsidRDefault="001C5063" w:rsidP="001C5063">
            <w:pPr>
              <w:tabs>
                <w:tab w:val="decimal" w:pos="89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87.5</w:t>
            </w:r>
          </w:p>
        </w:tc>
        <w:tc>
          <w:tcPr>
            <w:tcW w:w="1870" w:type="dxa"/>
            <w:tcBorders>
              <w:top w:val="nil"/>
              <w:left w:val="nil"/>
              <w:bottom w:val="single" w:sz="4" w:space="0" w:color="000000" w:themeColor="text1"/>
              <w:right w:val="nil"/>
            </w:tcBorders>
            <w:shd w:val="clear" w:color="auto" w:fill="FFFFFF" w:themeFill="background1"/>
          </w:tcPr>
          <w:p w14:paraId="072B1F27" w14:textId="63DA92CC" w:rsidR="001C5063" w:rsidRDefault="001C5063" w:rsidP="001C5063">
            <w:pPr>
              <w:tabs>
                <w:tab w:val="decimal" w:pos="89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alibri" w:hAnsi="Calibri" w:cs="Calibri"/>
                <w:color w:val="000000"/>
              </w:rPr>
              <w:t>87.7</w:t>
            </w:r>
          </w:p>
        </w:tc>
      </w:tr>
      <w:tr w:rsidR="001C5063" w14:paraId="2DDBC615" w14:textId="77777777" w:rsidTr="005A1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000000" w:themeColor="text1"/>
              <w:bottom w:val="thinThickMediumGap" w:sz="24" w:space="0" w:color="000000" w:themeColor="text1"/>
              <w:right w:val="nil"/>
            </w:tcBorders>
          </w:tcPr>
          <w:p w14:paraId="72D214BE" w14:textId="51FA959D" w:rsidR="001C5063" w:rsidRDefault="001C5063" w:rsidP="001C5063">
            <w:pPr>
              <w:rPr>
                <w:rFonts w:ascii="Calibri" w:hAnsi="Calibri" w:cs="Calibri"/>
                <w:color w:val="000000"/>
              </w:rPr>
            </w:pPr>
            <w:r>
              <w:rPr>
                <w:rFonts w:ascii="Calibri" w:hAnsi="Calibri" w:cs="Calibri"/>
                <w:b/>
                <w:bCs/>
                <w:color w:val="000000"/>
              </w:rPr>
              <w:t>N</w:t>
            </w:r>
          </w:p>
        </w:tc>
        <w:tc>
          <w:tcPr>
            <w:tcW w:w="1870" w:type="dxa"/>
            <w:tcBorders>
              <w:top w:val="single" w:sz="4" w:space="0" w:color="000000" w:themeColor="text1"/>
              <w:left w:val="nil"/>
              <w:bottom w:val="thinThickMediumGap" w:sz="24" w:space="0" w:color="000000" w:themeColor="text1"/>
              <w:right w:val="nil"/>
            </w:tcBorders>
            <w:shd w:val="clear" w:color="auto" w:fill="FFFFFF" w:themeFill="background1"/>
          </w:tcPr>
          <w:p w14:paraId="00729FB5" w14:textId="36F2C777" w:rsidR="001C5063" w:rsidRDefault="001C5063" w:rsidP="001C5063">
            <w:pPr>
              <w:tabs>
                <w:tab w:val="decimal" w:pos="899"/>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30</w:t>
            </w:r>
          </w:p>
        </w:tc>
        <w:tc>
          <w:tcPr>
            <w:tcW w:w="1870" w:type="dxa"/>
            <w:tcBorders>
              <w:top w:val="single" w:sz="4" w:space="0" w:color="000000" w:themeColor="text1"/>
              <w:left w:val="nil"/>
              <w:bottom w:val="thinThickMediumGap" w:sz="24" w:space="0" w:color="000000" w:themeColor="text1"/>
              <w:right w:val="nil"/>
            </w:tcBorders>
            <w:shd w:val="clear" w:color="auto" w:fill="FFFFFF" w:themeFill="background1"/>
          </w:tcPr>
          <w:p w14:paraId="48659EC5" w14:textId="1ADAF175" w:rsidR="001C5063" w:rsidRDefault="001C5063" w:rsidP="001C5063">
            <w:pPr>
              <w:tabs>
                <w:tab w:val="decimal" w:pos="899"/>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35</w:t>
            </w:r>
          </w:p>
        </w:tc>
        <w:tc>
          <w:tcPr>
            <w:tcW w:w="1870" w:type="dxa"/>
            <w:tcBorders>
              <w:top w:val="single" w:sz="4" w:space="0" w:color="000000" w:themeColor="text1"/>
              <w:left w:val="nil"/>
              <w:bottom w:val="thinThickMediumGap" w:sz="24" w:space="0" w:color="000000" w:themeColor="text1"/>
              <w:right w:val="nil"/>
            </w:tcBorders>
            <w:shd w:val="clear" w:color="auto" w:fill="FFFFFF" w:themeFill="background1"/>
          </w:tcPr>
          <w:p w14:paraId="7D88D85C" w14:textId="5C6DC515" w:rsidR="001C5063" w:rsidRDefault="001C5063" w:rsidP="001C5063">
            <w:pPr>
              <w:tabs>
                <w:tab w:val="decimal" w:pos="899"/>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31</w:t>
            </w:r>
          </w:p>
        </w:tc>
        <w:tc>
          <w:tcPr>
            <w:tcW w:w="1870" w:type="dxa"/>
            <w:tcBorders>
              <w:top w:val="single" w:sz="4" w:space="0" w:color="000000" w:themeColor="text1"/>
              <w:left w:val="nil"/>
              <w:bottom w:val="thinThickMediumGap" w:sz="24" w:space="0" w:color="000000" w:themeColor="text1"/>
              <w:right w:val="nil"/>
            </w:tcBorders>
            <w:shd w:val="clear" w:color="auto" w:fill="FFFFFF" w:themeFill="background1"/>
          </w:tcPr>
          <w:p w14:paraId="05E14334" w14:textId="7A2E9D94" w:rsidR="001C5063" w:rsidRDefault="001C5063" w:rsidP="001C5063">
            <w:pPr>
              <w:tabs>
                <w:tab w:val="decimal" w:pos="899"/>
              </w:tabs>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96</w:t>
            </w:r>
          </w:p>
        </w:tc>
      </w:tr>
    </w:tbl>
    <w:p w14:paraId="5AEE35A0" w14:textId="77777777" w:rsidR="001C5063" w:rsidRDefault="001C5063" w:rsidP="00BB5DE5">
      <w:pPr>
        <w:rPr>
          <w:rFonts w:ascii="Times New Roman" w:hAnsi="Times New Roman" w:cs="Times New Roman"/>
          <w:sz w:val="24"/>
          <w:szCs w:val="24"/>
        </w:rPr>
      </w:pPr>
    </w:p>
    <w:p w14:paraId="070D9675" w14:textId="77777777" w:rsidR="00BB5DE5" w:rsidRPr="00BB5DE5" w:rsidRDefault="00BB5DE5" w:rsidP="00BB5DE5">
      <w:pPr>
        <w:spacing w:line="259" w:lineRule="auto"/>
        <w:rPr>
          <w:rFonts w:ascii="Times New Roman" w:hAnsi="Times New Roman" w:cs="Times New Roman"/>
          <w:b/>
          <w:sz w:val="28"/>
          <w:szCs w:val="28"/>
        </w:rPr>
      </w:pPr>
      <w:r w:rsidRPr="00BB5DE5">
        <w:rPr>
          <w:rFonts w:ascii="Times New Roman" w:hAnsi="Times New Roman" w:cs="Times New Roman"/>
          <w:b/>
          <w:sz w:val="28"/>
          <w:szCs w:val="28"/>
        </w:rPr>
        <w:t xml:space="preserve">Inter-rater reliability </w:t>
      </w:r>
    </w:p>
    <w:p w14:paraId="2F51ACB8" w14:textId="3878497B" w:rsidR="00BB5DE5" w:rsidRDefault="00A65E35" w:rsidP="00BB5DE5">
      <w:pPr>
        <w:rPr>
          <w:rFonts w:ascii="Times New Roman" w:hAnsi="Times New Roman" w:cs="Times New Roman"/>
          <w:sz w:val="24"/>
          <w:szCs w:val="24"/>
        </w:rPr>
      </w:pPr>
      <w:r>
        <w:rPr>
          <w:rFonts w:ascii="Times New Roman" w:hAnsi="Times New Roman" w:cs="Times New Roman"/>
          <w:sz w:val="24"/>
          <w:szCs w:val="24"/>
        </w:rPr>
        <w:t>Fresno State’s benchmark for inte</w:t>
      </w:r>
      <w:r w:rsidR="006B1696">
        <w:rPr>
          <w:rFonts w:ascii="Times New Roman" w:hAnsi="Times New Roman" w:cs="Times New Roman"/>
          <w:sz w:val="24"/>
          <w:szCs w:val="24"/>
        </w:rPr>
        <w:t>r-rater reliability is 90%. T</w:t>
      </w:r>
      <w:r>
        <w:rPr>
          <w:rFonts w:ascii="Times New Roman" w:hAnsi="Times New Roman" w:cs="Times New Roman"/>
          <w:sz w:val="24"/>
          <w:szCs w:val="24"/>
        </w:rPr>
        <w:t xml:space="preserve">his was only met for one of </w:t>
      </w:r>
      <w:proofErr w:type="gramStart"/>
      <w:r>
        <w:rPr>
          <w:rFonts w:ascii="Times New Roman" w:hAnsi="Times New Roman" w:cs="Times New Roman"/>
          <w:sz w:val="24"/>
          <w:szCs w:val="24"/>
        </w:rPr>
        <w:t>the  three</w:t>
      </w:r>
      <w:proofErr w:type="gramEnd"/>
      <w:r>
        <w:rPr>
          <w:rFonts w:ascii="Times New Roman" w:hAnsi="Times New Roman" w:cs="Times New Roman"/>
          <w:sz w:val="24"/>
          <w:szCs w:val="24"/>
        </w:rPr>
        <w:t xml:space="preserve"> outcomes for GE Area A2. The inter-rater reliability was 84%</w:t>
      </w:r>
      <w:r w:rsidR="00D64573">
        <w:rPr>
          <w:rFonts w:ascii="Times New Roman" w:hAnsi="Times New Roman" w:cs="Times New Roman"/>
          <w:sz w:val="24"/>
          <w:szCs w:val="24"/>
        </w:rPr>
        <w:t xml:space="preserve"> for outcome 1</w:t>
      </w:r>
      <w:r>
        <w:rPr>
          <w:rFonts w:ascii="Times New Roman" w:hAnsi="Times New Roman" w:cs="Times New Roman"/>
          <w:sz w:val="24"/>
          <w:szCs w:val="24"/>
        </w:rPr>
        <w:t xml:space="preserve">, </w:t>
      </w:r>
      <w:r w:rsidR="00860B03">
        <w:rPr>
          <w:rFonts w:ascii="Times New Roman" w:hAnsi="Times New Roman" w:cs="Times New Roman"/>
          <w:sz w:val="24"/>
          <w:szCs w:val="24"/>
        </w:rPr>
        <w:t xml:space="preserve">and </w:t>
      </w:r>
      <w:r>
        <w:rPr>
          <w:rFonts w:ascii="Times New Roman" w:hAnsi="Times New Roman" w:cs="Times New Roman"/>
          <w:sz w:val="24"/>
          <w:szCs w:val="24"/>
        </w:rPr>
        <w:t xml:space="preserve">92% for outcome 2, and 88% for outcome 3. </w:t>
      </w:r>
      <w:r w:rsidR="005A1AB2">
        <w:rPr>
          <w:rFonts w:ascii="Times New Roman" w:hAnsi="Times New Roman" w:cs="Times New Roman"/>
          <w:sz w:val="24"/>
          <w:szCs w:val="24"/>
        </w:rPr>
        <w:t xml:space="preserve">The average across the three outcomes was 88%. </w:t>
      </w:r>
      <w:r>
        <w:rPr>
          <w:rFonts w:ascii="Times New Roman" w:hAnsi="Times New Roman" w:cs="Times New Roman"/>
          <w:sz w:val="24"/>
          <w:szCs w:val="24"/>
        </w:rPr>
        <w:t xml:space="preserve">Since the benchmark was met for one of the three outcomes and almost met for a second outcome, it is clear that the norming process with faculty was relatively successful for GE Area A2. </w:t>
      </w:r>
      <w:r w:rsidR="00EB2D68">
        <w:rPr>
          <w:rFonts w:ascii="Times New Roman" w:hAnsi="Times New Roman" w:cs="Times New Roman"/>
          <w:sz w:val="24"/>
          <w:szCs w:val="24"/>
        </w:rPr>
        <w:t>F</w:t>
      </w:r>
      <w:r w:rsidR="00CE5A79">
        <w:rPr>
          <w:rFonts w:ascii="Times New Roman" w:hAnsi="Times New Roman" w:cs="Times New Roman"/>
          <w:sz w:val="24"/>
          <w:szCs w:val="24"/>
        </w:rPr>
        <w:t>or two of three outcomes</w:t>
      </w:r>
      <w:r w:rsidR="00F84E0F">
        <w:rPr>
          <w:rFonts w:ascii="Times New Roman" w:hAnsi="Times New Roman" w:cs="Times New Roman"/>
          <w:sz w:val="24"/>
          <w:szCs w:val="24"/>
        </w:rPr>
        <w:t>,</w:t>
      </w:r>
      <w:r w:rsidR="00CE5A79">
        <w:rPr>
          <w:rFonts w:ascii="Times New Roman" w:hAnsi="Times New Roman" w:cs="Times New Roman"/>
          <w:sz w:val="24"/>
          <w:szCs w:val="24"/>
        </w:rPr>
        <w:t xml:space="preserve"> the faculty disagreed about proficiency in only a few cases. Furthermore, the faculty disagreed mo</w:t>
      </w:r>
      <w:r w:rsidR="00F84E0F">
        <w:rPr>
          <w:rFonts w:ascii="Times New Roman" w:hAnsi="Times New Roman" w:cs="Times New Roman"/>
          <w:sz w:val="24"/>
          <w:szCs w:val="24"/>
        </w:rPr>
        <w:t xml:space="preserve">st about outcome one. </w:t>
      </w:r>
      <w:r w:rsidR="005A1AB2">
        <w:rPr>
          <w:rFonts w:ascii="Times New Roman" w:hAnsi="Times New Roman" w:cs="Times New Roman"/>
          <w:sz w:val="24"/>
          <w:szCs w:val="24"/>
        </w:rPr>
        <w:t xml:space="preserve">Inspection of the evaluations shows that the discrepancies primarily </w:t>
      </w:r>
      <w:r w:rsidR="00A40C5F">
        <w:rPr>
          <w:rFonts w:ascii="Times New Roman" w:hAnsi="Times New Roman" w:cs="Times New Roman"/>
          <w:sz w:val="24"/>
          <w:szCs w:val="24"/>
        </w:rPr>
        <w:t>occurred</w:t>
      </w:r>
      <w:r w:rsidR="00CE5A79">
        <w:rPr>
          <w:rFonts w:ascii="Times New Roman" w:hAnsi="Times New Roman" w:cs="Times New Roman"/>
          <w:sz w:val="24"/>
          <w:szCs w:val="24"/>
        </w:rPr>
        <w:t xml:space="preserve"> because one faculty member did not deem students proficient </w:t>
      </w:r>
      <w:r w:rsidR="00CE5A79">
        <w:rPr>
          <w:rFonts w:ascii="Times New Roman" w:hAnsi="Times New Roman" w:cs="Times New Roman"/>
          <w:sz w:val="24"/>
          <w:szCs w:val="24"/>
        </w:rPr>
        <w:lastRenderedPageBreak/>
        <w:t xml:space="preserve">unless they had clearly cited </w:t>
      </w:r>
      <w:r w:rsidR="00CE5A79" w:rsidRPr="005A1AB2">
        <w:rPr>
          <w:rFonts w:ascii="Times New Roman" w:hAnsi="Times New Roman" w:cs="Times New Roman"/>
          <w:sz w:val="24"/>
          <w:szCs w:val="24"/>
        </w:rPr>
        <w:t>multiple sources</w:t>
      </w:r>
      <w:r w:rsidR="00CE5A79">
        <w:rPr>
          <w:rFonts w:ascii="Times New Roman" w:hAnsi="Times New Roman" w:cs="Times New Roman"/>
          <w:sz w:val="24"/>
          <w:szCs w:val="24"/>
        </w:rPr>
        <w:t xml:space="preserve"> without making any grammatical mistakes in the citation</w:t>
      </w:r>
      <w:r w:rsidR="005A1AB2">
        <w:rPr>
          <w:rFonts w:ascii="Times New Roman" w:hAnsi="Times New Roman" w:cs="Times New Roman"/>
          <w:sz w:val="24"/>
          <w:szCs w:val="24"/>
        </w:rPr>
        <w:t>s</w:t>
      </w:r>
      <w:r w:rsidR="00CE5A79">
        <w:rPr>
          <w:rFonts w:ascii="Times New Roman" w:hAnsi="Times New Roman" w:cs="Times New Roman"/>
          <w:sz w:val="24"/>
          <w:szCs w:val="24"/>
        </w:rPr>
        <w:t>. This is a slightly stricter interpretation of the outcome th</w:t>
      </w:r>
      <w:r w:rsidR="002029F7">
        <w:rPr>
          <w:rFonts w:ascii="Times New Roman" w:hAnsi="Times New Roman" w:cs="Times New Roman"/>
          <w:sz w:val="24"/>
          <w:szCs w:val="24"/>
        </w:rPr>
        <w:t>a</w:t>
      </w:r>
      <w:r w:rsidR="00CE5A79">
        <w:rPr>
          <w:rFonts w:ascii="Times New Roman" w:hAnsi="Times New Roman" w:cs="Times New Roman"/>
          <w:sz w:val="24"/>
          <w:szCs w:val="24"/>
        </w:rPr>
        <w:t>n was discussed during the norming session and resulted in a slightly lower in</w:t>
      </w:r>
      <w:r w:rsidR="002029F7">
        <w:rPr>
          <w:rFonts w:ascii="Times New Roman" w:hAnsi="Times New Roman" w:cs="Times New Roman"/>
          <w:sz w:val="24"/>
          <w:szCs w:val="24"/>
        </w:rPr>
        <w:t xml:space="preserve">ter-rater reliability rater. </w:t>
      </w:r>
      <w:r w:rsidR="00747A3B">
        <w:rPr>
          <w:rFonts w:ascii="Times New Roman" w:hAnsi="Times New Roman" w:cs="Times New Roman"/>
          <w:sz w:val="24"/>
          <w:szCs w:val="24"/>
        </w:rPr>
        <w:t>(Going forward, t</w:t>
      </w:r>
      <w:r w:rsidR="002029F7">
        <w:rPr>
          <w:rFonts w:ascii="Times New Roman" w:hAnsi="Times New Roman" w:cs="Times New Roman"/>
          <w:sz w:val="24"/>
          <w:szCs w:val="24"/>
        </w:rPr>
        <w:t xml:space="preserve">his </w:t>
      </w:r>
      <w:r w:rsidR="00CE5A79">
        <w:rPr>
          <w:rFonts w:ascii="Times New Roman" w:hAnsi="Times New Roman" w:cs="Times New Roman"/>
          <w:sz w:val="24"/>
          <w:szCs w:val="24"/>
        </w:rPr>
        <w:t xml:space="preserve">can be easily resolved by </w:t>
      </w:r>
      <w:r w:rsidR="008E2A5F">
        <w:rPr>
          <w:rFonts w:ascii="Times New Roman" w:hAnsi="Times New Roman" w:cs="Times New Roman"/>
          <w:sz w:val="24"/>
          <w:szCs w:val="24"/>
        </w:rPr>
        <w:t>placing greater emphasis on</w:t>
      </w:r>
      <w:r w:rsidR="00CE5A79">
        <w:rPr>
          <w:rFonts w:ascii="Times New Roman" w:hAnsi="Times New Roman" w:cs="Times New Roman"/>
          <w:sz w:val="24"/>
          <w:szCs w:val="24"/>
        </w:rPr>
        <w:t xml:space="preserve"> the</w:t>
      </w:r>
      <w:r w:rsidR="008E2A5F">
        <w:rPr>
          <w:rFonts w:ascii="Times New Roman" w:hAnsi="Times New Roman" w:cs="Times New Roman"/>
          <w:sz w:val="24"/>
          <w:szCs w:val="24"/>
        </w:rPr>
        <w:t xml:space="preserve"> actual</w:t>
      </w:r>
      <w:r w:rsidR="00CE5A79">
        <w:rPr>
          <w:rFonts w:ascii="Times New Roman" w:hAnsi="Times New Roman" w:cs="Times New Roman"/>
          <w:sz w:val="24"/>
          <w:szCs w:val="24"/>
        </w:rPr>
        <w:t xml:space="preserve"> expectations for citations.</w:t>
      </w:r>
      <w:r w:rsidR="00747A3B">
        <w:rPr>
          <w:rFonts w:ascii="Times New Roman" w:hAnsi="Times New Roman" w:cs="Times New Roman"/>
          <w:sz w:val="24"/>
          <w:szCs w:val="24"/>
        </w:rPr>
        <w:t>)</w:t>
      </w:r>
      <w:r w:rsidR="00CE5A79">
        <w:rPr>
          <w:rFonts w:ascii="Times New Roman" w:hAnsi="Times New Roman" w:cs="Times New Roman"/>
          <w:sz w:val="24"/>
          <w:szCs w:val="24"/>
        </w:rPr>
        <w:t xml:space="preserve"> </w:t>
      </w:r>
      <w:r w:rsidR="0042344E">
        <w:rPr>
          <w:rFonts w:ascii="Times New Roman" w:hAnsi="Times New Roman" w:cs="Times New Roman"/>
          <w:sz w:val="24"/>
          <w:szCs w:val="24"/>
        </w:rPr>
        <w:t>See Figure 1 for student proficiency and inter-rater reliability averages.</w:t>
      </w:r>
    </w:p>
    <w:p w14:paraId="6A83D6CD" w14:textId="1A777BC9" w:rsidR="005A1AB2" w:rsidRDefault="005A1AB2" w:rsidP="00BB5DE5">
      <w:pPr>
        <w:rPr>
          <w:rFonts w:ascii="Times New Roman" w:hAnsi="Times New Roman" w:cs="Times New Roman"/>
          <w:sz w:val="24"/>
          <w:szCs w:val="24"/>
        </w:rPr>
      </w:pPr>
    </w:p>
    <w:p w14:paraId="74D47B46" w14:textId="073928A6" w:rsidR="005A1AB2" w:rsidRPr="005A1AB2" w:rsidRDefault="005A1AB2" w:rsidP="005A1AB2">
      <w:pPr>
        <w:spacing w:after="0" w:line="257" w:lineRule="auto"/>
        <w:contextualSpacing/>
        <w:rPr>
          <w:rFonts w:ascii="Times New Roman" w:hAnsi="Times New Roman" w:cs="Times New Roman"/>
          <w:b/>
          <w:bCs/>
          <w:sz w:val="24"/>
          <w:szCs w:val="24"/>
        </w:rPr>
      </w:pPr>
      <w:r w:rsidRPr="005A1AB2">
        <w:rPr>
          <w:rFonts w:ascii="Times New Roman" w:hAnsi="Times New Roman" w:cs="Times New Roman"/>
          <w:b/>
          <w:bCs/>
          <w:sz w:val="24"/>
          <w:szCs w:val="24"/>
        </w:rPr>
        <w:t>Figure 1. Graph of Student Proficiency and Inter-rater Reliability Averages</w:t>
      </w:r>
    </w:p>
    <w:p w14:paraId="154FF9C0" w14:textId="5B83CE4F" w:rsidR="005A1AB2" w:rsidRDefault="005A1AB2" w:rsidP="005A1AB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8E8C3B" wp14:editId="2262EC35">
            <wp:extent cx="45720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aA2.png"/>
                    <pic:cNvPicPr/>
                  </pic:nvPicPr>
                  <pic:blipFill>
                    <a:blip r:embed="rId6"/>
                    <a:stretch>
                      <a:fillRect/>
                    </a:stretch>
                  </pic:blipFill>
                  <pic:spPr>
                    <a:xfrm>
                      <a:off x="0" y="0"/>
                      <a:ext cx="4572000" cy="2743200"/>
                    </a:xfrm>
                    <a:prstGeom prst="rect">
                      <a:avLst/>
                    </a:prstGeom>
                    <a:ln>
                      <a:noFill/>
                    </a:ln>
                  </pic:spPr>
                </pic:pic>
              </a:graphicData>
            </a:graphic>
          </wp:inline>
        </w:drawing>
      </w:r>
    </w:p>
    <w:p w14:paraId="1610AE67" w14:textId="77777777" w:rsidR="005A1AB2" w:rsidRDefault="005A1AB2" w:rsidP="00BB5DE5">
      <w:pPr>
        <w:rPr>
          <w:rFonts w:ascii="Times New Roman" w:hAnsi="Times New Roman" w:cs="Times New Roman"/>
          <w:sz w:val="24"/>
          <w:szCs w:val="24"/>
        </w:rPr>
      </w:pPr>
    </w:p>
    <w:p w14:paraId="6B5BDABE" w14:textId="77777777" w:rsidR="00BB5DE5" w:rsidRPr="00BB5DE5" w:rsidRDefault="00BB5DE5" w:rsidP="00BB5DE5">
      <w:pPr>
        <w:spacing w:line="259" w:lineRule="auto"/>
        <w:rPr>
          <w:rFonts w:ascii="Times New Roman" w:hAnsi="Times New Roman" w:cs="Times New Roman"/>
          <w:b/>
          <w:sz w:val="28"/>
          <w:szCs w:val="28"/>
        </w:rPr>
      </w:pPr>
      <w:r w:rsidRPr="00BB5DE5">
        <w:rPr>
          <w:rFonts w:ascii="Times New Roman" w:hAnsi="Times New Roman" w:cs="Times New Roman"/>
          <w:b/>
          <w:sz w:val="28"/>
          <w:szCs w:val="28"/>
        </w:rPr>
        <w:t>Conclusions</w:t>
      </w:r>
    </w:p>
    <w:p w14:paraId="622F819C" w14:textId="29069EFB" w:rsidR="00BB5DE5" w:rsidRPr="00FC7364" w:rsidRDefault="00CE5A79">
      <w:pPr>
        <w:rPr>
          <w:rFonts w:ascii="Times New Roman" w:hAnsi="Times New Roman" w:cs="Times New Roman"/>
          <w:sz w:val="24"/>
          <w:szCs w:val="24"/>
        </w:rPr>
      </w:pPr>
      <w:r w:rsidRPr="00CE5A79">
        <w:rPr>
          <w:rFonts w:ascii="Times New Roman" w:hAnsi="Times New Roman" w:cs="Times New Roman"/>
          <w:sz w:val="24"/>
          <w:szCs w:val="24"/>
        </w:rPr>
        <w:t xml:space="preserve">Overall, Fresno State </w:t>
      </w:r>
      <w:r w:rsidR="00FF7C58">
        <w:rPr>
          <w:rFonts w:ascii="Times New Roman" w:hAnsi="Times New Roman" w:cs="Times New Roman"/>
          <w:sz w:val="24"/>
          <w:szCs w:val="24"/>
        </w:rPr>
        <w:t xml:space="preserve">students are proficient in first-year </w:t>
      </w:r>
      <w:r w:rsidRPr="00CE5A79">
        <w:rPr>
          <w:rFonts w:ascii="Times New Roman" w:hAnsi="Times New Roman" w:cs="Times New Roman"/>
          <w:sz w:val="24"/>
          <w:szCs w:val="24"/>
        </w:rPr>
        <w:t>writing skills</w:t>
      </w:r>
      <w:r w:rsidR="00FF7C58">
        <w:rPr>
          <w:rFonts w:ascii="Times New Roman" w:hAnsi="Times New Roman" w:cs="Times New Roman"/>
          <w:sz w:val="24"/>
          <w:szCs w:val="24"/>
        </w:rPr>
        <w:t xml:space="preserve"> and basic sentence construction.</w:t>
      </w:r>
      <w:r w:rsidR="00BE7237">
        <w:rPr>
          <w:rFonts w:ascii="Times New Roman" w:hAnsi="Times New Roman" w:cs="Times New Roman"/>
          <w:sz w:val="24"/>
          <w:szCs w:val="24"/>
        </w:rPr>
        <w:t xml:space="preserve"> Furthermore, about a third of students evaluated for outcome</w:t>
      </w:r>
      <w:r w:rsidR="00D44162">
        <w:rPr>
          <w:rFonts w:ascii="Times New Roman" w:hAnsi="Times New Roman" w:cs="Times New Roman"/>
          <w:sz w:val="24"/>
          <w:szCs w:val="24"/>
        </w:rPr>
        <w:t>s</w:t>
      </w:r>
      <w:r w:rsidR="00BE7237">
        <w:rPr>
          <w:rFonts w:ascii="Times New Roman" w:hAnsi="Times New Roman" w:cs="Times New Roman"/>
          <w:sz w:val="24"/>
          <w:szCs w:val="24"/>
        </w:rPr>
        <w:t xml:space="preserve"> two and three were deemed advanced and all of these students ha</w:t>
      </w:r>
      <w:r w:rsidR="00D44162">
        <w:rPr>
          <w:rFonts w:ascii="Times New Roman" w:hAnsi="Times New Roman" w:cs="Times New Roman"/>
          <w:sz w:val="24"/>
          <w:szCs w:val="24"/>
        </w:rPr>
        <w:t>ve</w:t>
      </w:r>
      <w:r w:rsidR="00BE7237">
        <w:rPr>
          <w:rFonts w:ascii="Times New Roman" w:hAnsi="Times New Roman" w:cs="Times New Roman"/>
          <w:sz w:val="24"/>
          <w:szCs w:val="24"/>
        </w:rPr>
        <w:t xml:space="preserve"> writing skills that exceeded expectations for written communication skills in first-year courses. For the students who were deemed proficient and not advanced, m</w:t>
      </w:r>
      <w:r>
        <w:rPr>
          <w:rFonts w:ascii="Times New Roman" w:hAnsi="Times New Roman" w:cs="Times New Roman"/>
          <w:sz w:val="24"/>
          <w:szCs w:val="24"/>
        </w:rPr>
        <w:t xml:space="preserve">ost </w:t>
      </w:r>
      <w:r w:rsidR="00BE7237">
        <w:rPr>
          <w:rFonts w:ascii="Times New Roman" w:hAnsi="Times New Roman" w:cs="Times New Roman"/>
          <w:sz w:val="24"/>
          <w:szCs w:val="24"/>
        </w:rPr>
        <w:t>of their sentences were</w:t>
      </w:r>
      <w:r>
        <w:rPr>
          <w:rFonts w:ascii="Times New Roman" w:hAnsi="Times New Roman" w:cs="Times New Roman"/>
          <w:sz w:val="24"/>
          <w:szCs w:val="24"/>
        </w:rPr>
        <w:t xml:space="preserve"> clear enough to convey meaning</w:t>
      </w:r>
      <w:r w:rsidR="00D44162">
        <w:rPr>
          <w:rFonts w:ascii="Times New Roman" w:hAnsi="Times New Roman" w:cs="Times New Roman"/>
          <w:sz w:val="24"/>
          <w:szCs w:val="24"/>
        </w:rPr>
        <w:t>,</w:t>
      </w:r>
      <w:r w:rsidR="00FF7C58">
        <w:rPr>
          <w:rFonts w:ascii="Times New Roman" w:hAnsi="Times New Roman" w:cs="Times New Roman"/>
          <w:sz w:val="24"/>
          <w:szCs w:val="24"/>
        </w:rPr>
        <w:t xml:space="preserve"> and wo</w:t>
      </w:r>
      <w:r w:rsidR="00BE7237">
        <w:rPr>
          <w:rFonts w:ascii="Times New Roman" w:hAnsi="Times New Roman" w:cs="Times New Roman"/>
          <w:sz w:val="24"/>
          <w:szCs w:val="24"/>
        </w:rPr>
        <w:t>rding and grammatical errors were</w:t>
      </w:r>
      <w:r w:rsidR="00FF7C58">
        <w:rPr>
          <w:rFonts w:ascii="Times New Roman" w:hAnsi="Times New Roman" w:cs="Times New Roman"/>
          <w:sz w:val="24"/>
          <w:szCs w:val="24"/>
        </w:rPr>
        <w:t xml:space="preserve"> relatively minor</w:t>
      </w:r>
      <w:r>
        <w:rPr>
          <w:rFonts w:ascii="Times New Roman" w:hAnsi="Times New Roman" w:cs="Times New Roman"/>
          <w:sz w:val="24"/>
          <w:szCs w:val="24"/>
        </w:rPr>
        <w:t xml:space="preserve">. However, </w:t>
      </w:r>
      <w:r w:rsidR="00D605BE">
        <w:rPr>
          <w:rFonts w:ascii="Times New Roman" w:hAnsi="Times New Roman" w:cs="Times New Roman"/>
          <w:sz w:val="24"/>
          <w:szCs w:val="24"/>
        </w:rPr>
        <w:t>i</w:t>
      </w:r>
      <w:r w:rsidR="00FF7C58">
        <w:rPr>
          <w:rFonts w:ascii="Times New Roman" w:hAnsi="Times New Roman" w:cs="Times New Roman"/>
          <w:sz w:val="24"/>
          <w:szCs w:val="24"/>
        </w:rPr>
        <w:t xml:space="preserve">t </w:t>
      </w:r>
      <w:r w:rsidR="00BE7237">
        <w:rPr>
          <w:rFonts w:ascii="Times New Roman" w:hAnsi="Times New Roman" w:cs="Times New Roman"/>
          <w:sz w:val="24"/>
          <w:szCs w:val="24"/>
        </w:rPr>
        <w:t xml:space="preserve">is </w:t>
      </w:r>
      <w:r w:rsidR="00FF7C58">
        <w:rPr>
          <w:rFonts w:ascii="Times New Roman" w:hAnsi="Times New Roman" w:cs="Times New Roman"/>
          <w:sz w:val="24"/>
          <w:szCs w:val="24"/>
        </w:rPr>
        <w:t xml:space="preserve">clear that </w:t>
      </w:r>
      <w:r w:rsidR="00D44162">
        <w:rPr>
          <w:rFonts w:ascii="Times New Roman" w:hAnsi="Times New Roman" w:cs="Times New Roman"/>
          <w:sz w:val="24"/>
          <w:szCs w:val="24"/>
        </w:rPr>
        <w:t xml:space="preserve">there </w:t>
      </w:r>
      <w:r w:rsidR="00FF7C58">
        <w:rPr>
          <w:rFonts w:ascii="Times New Roman" w:hAnsi="Times New Roman" w:cs="Times New Roman"/>
          <w:sz w:val="24"/>
          <w:szCs w:val="24"/>
        </w:rPr>
        <w:t>are some weaknesses in st</w:t>
      </w:r>
      <w:r w:rsidR="00BE7237">
        <w:rPr>
          <w:rFonts w:ascii="Times New Roman" w:hAnsi="Times New Roman" w:cs="Times New Roman"/>
          <w:sz w:val="24"/>
          <w:szCs w:val="24"/>
        </w:rPr>
        <w:t>udent writing related to</w:t>
      </w:r>
      <w:r w:rsidR="00D605BE">
        <w:rPr>
          <w:rFonts w:ascii="Times New Roman" w:hAnsi="Times New Roman" w:cs="Times New Roman"/>
          <w:sz w:val="24"/>
          <w:szCs w:val="24"/>
        </w:rPr>
        <w:t xml:space="preserve"> </w:t>
      </w:r>
      <w:r w:rsidR="00322F09">
        <w:rPr>
          <w:rFonts w:ascii="Times New Roman" w:hAnsi="Times New Roman" w:cs="Times New Roman"/>
          <w:sz w:val="24"/>
          <w:szCs w:val="24"/>
        </w:rPr>
        <w:t xml:space="preserve">organization of ideas, </w:t>
      </w:r>
      <w:r w:rsidR="00FF7C58">
        <w:rPr>
          <w:rFonts w:ascii="Times New Roman" w:hAnsi="Times New Roman" w:cs="Times New Roman"/>
          <w:sz w:val="24"/>
          <w:szCs w:val="24"/>
        </w:rPr>
        <w:t xml:space="preserve">the ability to incorporate </w:t>
      </w:r>
      <w:r>
        <w:rPr>
          <w:rFonts w:ascii="Times New Roman" w:hAnsi="Times New Roman" w:cs="Times New Roman"/>
          <w:sz w:val="24"/>
          <w:szCs w:val="24"/>
        </w:rPr>
        <w:t>c</w:t>
      </w:r>
      <w:r w:rsidR="00DC1BB0">
        <w:rPr>
          <w:rFonts w:ascii="Times New Roman" w:hAnsi="Times New Roman" w:cs="Times New Roman"/>
          <w:sz w:val="24"/>
          <w:szCs w:val="24"/>
        </w:rPr>
        <w:t>omplex sentence structures</w:t>
      </w:r>
      <w:r w:rsidR="00D44162">
        <w:rPr>
          <w:rFonts w:ascii="Times New Roman" w:hAnsi="Times New Roman" w:cs="Times New Roman"/>
          <w:sz w:val="24"/>
          <w:szCs w:val="24"/>
        </w:rPr>
        <w:t>,</w:t>
      </w:r>
      <w:r w:rsidR="00322F09">
        <w:rPr>
          <w:rFonts w:ascii="Times New Roman" w:hAnsi="Times New Roman" w:cs="Times New Roman"/>
          <w:sz w:val="24"/>
          <w:szCs w:val="24"/>
        </w:rPr>
        <w:t xml:space="preserve"> and</w:t>
      </w:r>
      <w:r w:rsidR="00BE7237">
        <w:rPr>
          <w:rFonts w:ascii="Times New Roman" w:hAnsi="Times New Roman" w:cs="Times New Roman"/>
          <w:sz w:val="24"/>
          <w:szCs w:val="24"/>
        </w:rPr>
        <w:t xml:space="preserve"> the use of sophisticated and diverse language</w:t>
      </w:r>
      <w:r w:rsidR="00FC7364">
        <w:rPr>
          <w:rFonts w:ascii="Times New Roman" w:hAnsi="Times New Roman" w:cs="Times New Roman"/>
          <w:sz w:val="24"/>
          <w:szCs w:val="24"/>
        </w:rPr>
        <w:t>. T</w:t>
      </w:r>
      <w:r w:rsidR="00322F09">
        <w:rPr>
          <w:rFonts w:ascii="Times New Roman" w:hAnsi="Times New Roman" w:cs="Times New Roman"/>
          <w:sz w:val="24"/>
          <w:szCs w:val="24"/>
        </w:rPr>
        <w:t>hese issues might</w:t>
      </w:r>
      <w:r w:rsidR="00FC7364">
        <w:rPr>
          <w:rFonts w:ascii="Times New Roman" w:hAnsi="Times New Roman" w:cs="Times New Roman"/>
          <w:sz w:val="24"/>
          <w:szCs w:val="24"/>
        </w:rPr>
        <w:t xml:space="preserve"> make it more difficult for students to demonstrate advanced writing skills in upper-divisi</w:t>
      </w:r>
      <w:r w:rsidR="00BE7237">
        <w:rPr>
          <w:rFonts w:ascii="Times New Roman" w:hAnsi="Times New Roman" w:cs="Times New Roman"/>
          <w:sz w:val="24"/>
          <w:szCs w:val="24"/>
        </w:rPr>
        <w:t xml:space="preserve">on courses in certain </w:t>
      </w:r>
      <w:r w:rsidR="00322F09">
        <w:rPr>
          <w:rFonts w:ascii="Times New Roman" w:hAnsi="Times New Roman" w:cs="Times New Roman"/>
          <w:sz w:val="24"/>
          <w:szCs w:val="24"/>
        </w:rPr>
        <w:t>majors</w:t>
      </w:r>
      <w:r w:rsidR="00D44162">
        <w:rPr>
          <w:rFonts w:ascii="Times New Roman" w:hAnsi="Times New Roman" w:cs="Times New Roman"/>
          <w:sz w:val="24"/>
          <w:szCs w:val="24"/>
        </w:rPr>
        <w:t xml:space="preserve"> and should be an area of focus going forward</w:t>
      </w:r>
      <w:r w:rsidR="00322F09">
        <w:rPr>
          <w:rFonts w:ascii="Times New Roman" w:hAnsi="Times New Roman" w:cs="Times New Roman"/>
          <w:sz w:val="24"/>
          <w:szCs w:val="24"/>
        </w:rPr>
        <w:t xml:space="preserve">. </w:t>
      </w:r>
    </w:p>
    <w:sectPr w:rsidR="00BB5DE5" w:rsidRPr="00FC7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4EB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5"/>
    <w:rsid w:val="0003763B"/>
    <w:rsid w:val="0004470C"/>
    <w:rsid w:val="000455A5"/>
    <w:rsid w:val="00054E79"/>
    <w:rsid w:val="0007001E"/>
    <w:rsid w:val="00174E0C"/>
    <w:rsid w:val="001A3DBF"/>
    <w:rsid w:val="001B4E07"/>
    <w:rsid w:val="001C5063"/>
    <w:rsid w:val="001D603E"/>
    <w:rsid w:val="001E4586"/>
    <w:rsid w:val="002029F7"/>
    <w:rsid w:val="00217F53"/>
    <w:rsid w:val="00280233"/>
    <w:rsid w:val="002F2F39"/>
    <w:rsid w:val="00322F09"/>
    <w:rsid w:val="003606D1"/>
    <w:rsid w:val="003706F3"/>
    <w:rsid w:val="003A5D0B"/>
    <w:rsid w:val="0042344E"/>
    <w:rsid w:val="00427C6E"/>
    <w:rsid w:val="004E0646"/>
    <w:rsid w:val="004E0EA3"/>
    <w:rsid w:val="00523FC9"/>
    <w:rsid w:val="00546967"/>
    <w:rsid w:val="00585547"/>
    <w:rsid w:val="005A1AB2"/>
    <w:rsid w:val="005D004D"/>
    <w:rsid w:val="006063E8"/>
    <w:rsid w:val="00625C28"/>
    <w:rsid w:val="00632F5D"/>
    <w:rsid w:val="0065670D"/>
    <w:rsid w:val="00667F26"/>
    <w:rsid w:val="006B1696"/>
    <w:rsid w:val="00705263"/>
    <w:rsid w:val="00706584"/>
    <w:rsid w:val="00714265"/>
    <w:rsid w:val="0073710B"/>
    <w:rsid w:val="00747A3B"/>
    <w:rsid w:val="00751076"/>
    <w:rsid w:val="00772D00"/>
    <w:rsid w:val="008239A7"/>
    <w:rsid w:val="00860B03"/>
    <w:rsid w:val="00872985"/>
    <w:rsid w:val="008E2A5F"/>
    <w:rsid w:val="00916858"/>
    <w:rsid w:val="00A13E28"/>
    <w:rsid w:val="00A239D0"/>
    <w:rsid w:val="00A40C5F"/>
    <w:rsid w:val="00A65E35"/>
    <w:rsid w:val="00AA2E19"/>
    <w:rsid w:val="00BB5DE5"/>
    <w:rsid w:val="00BC3D43"/>
    <w:rsid w:val="00BE7237"/>
    <w:rsid w:val="00BF5223"/>
    <w:rsid w:val="00CE4103"/>
    <w:rsid w:val="00CE570F"/>
    <w:rsid w:val="00CE5A79"/>
    <w:rsid w:val="00D44162"/>
    <w:rsid w:val="00D605BE"/>
    <w:rsid w:val="00D64573"/>
    <w:rsid w:val="00DB4305"/>
    <w:rsid w:val="00DC1BB0"/>
    <w:rsid w:val="00DD264F"/>
    <w:rsid w:val="00E477FE"/>
    <w:rsid w:val="00EB2D68"/>
    <w:rsid w:val="00F44AA1"/>
    <w:rsid w:val="00F5105E"/>
    <w:rsid w:val="00F84E0F"/>
    <w:rsid w:val="00FC7364"/>
    <w:rsid w:val="00FE4918"/>
    <w:rsid w:val="00FF7C03"/>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F33F0"/>
  <w15:docId w15:val="{2F6C924F-8AE0-45DA-9BF0-7052CA1A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2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233"/>
    <w:rPr>
      <w:rFonts w:ascii="Times New Roman" w:hAnsi="Times New Roman" w:cs="Times New Roman"/>
      <w:sz w:val="18"/>
      <w:szCs w:val="18"/>
    </w:rPr>
  </w:style>
  <w:style w:type="table" w:styleId="TableGrid">
    <w:name w:val="Table Grid"/>
    <w:basedOn w:val="TableNormal"/>
    <w:uiPriority w:val="39"/>
    <w:rsid w:val="001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uiPriority w:val="99"/>
    <w:rsid w:val="001C5063"/>
    <w:pPr>
      <w:spacing w:line="25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3-Accent31">
    <w:name w:val="Grid Table 3 - Accent 31"/>
    <w:basedOn w:val="TableNormal"/>
    <w:uiPriority w:val="48"/>
    <w:rsid w:val="001C50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86FF-A51C-4EF0-B521-93A4B887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2</cp:revision>
  <dcterms:created xsi:type="dcterms:W3CDTF">2020-01-21T22:29:00Z</dcterms:created>
  <dcterms:modified xsi:type="dcterms:W3CDTF">2020-01-21T22:29:00Z</dcterms:modified>
</cp:coreProperties>
</file>