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4006" w14:textId="77777777"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14:paraId="1040DDDB" w14:textId="0369F78F"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14:paraId="238BCC77"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452FA3A8" w14:textId="59BE7681"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w:t>
      </w:r>
      <w:r w:rsidR="00884B58">
        <w:rPr>
          <w:rFonts w:ascii="Times New Roman" w:hAnsi="Times New Roman" w:cs="Times New Roman"/>
          <w:sz w:val="24"/>
          <w:szCs w:val="24"/>
          <w:u w:val="single"/>
        </w:rPr>
        <w:t>History</w:t>
      </w:r>
      <w:r>
        <w:rPr>
          <w:rFonts w:ascii="Times New Roman" w:hAnsi="Times New Roman" w:cs="Times New Roman"/>
          <w:sz w:val="24"/>
          <w:szCs w:val="24"/>
        </w:rPr>
        <w:t>________________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r w:rsidR="00884B58">
        <w:rPr>
          <w:rFonts w:ascii="Times New Roman" w:hAnsi="Times New Roman" w:cs="Times New Roman"/>
          <w:sz w:val="24"/>
          <w:szCs w:val="24"/>
          <w:u w:val="single"/>
        </w:rPr>
        <w:t>MA</w:t>
      </w:r>
      <w:r>
        <w:rPr>
          <w:rFonts w:ascii="Times New Roman" w:hAnsi="Times New Roman" w:cs="Times New Roman"/>
          <w:sz w:val="24"/>
          <w:szCs w:val="24"/>
        </w:rPr>
        <w:t>___</w:t>
      </w:r>
    </w:p>
    <w:p w14:paraId="4FA6473C" w14:textId="0B085CF7" w:rsidR="00537657" w:rsidRPr="00994D64" w:rsidRDefault="00537657">
      <w:pPr>
        <w:rPr>
          <w:rFonts w:ascii="Times New Roman" w:hAnsi="Times New Roman" w:cs="Times New Roman"/>
          <w:sz w:val="24"/>
          <w:szCs w:val="24"/>
        </w:rPr>
      </w:pPr>
      <w:r w:rsidRPr="00994D64">
        <w:rPr>
          <w:rFonts w:ascii="Times New Roman" w:hAnsi="Times New Roman" w:cs="Times New Roman"/>
          <w:sz w:val="24"/>
          <w:szCs w:val="24"/>
        </w:rPr>
        <w:t>Assessment Coordinator: ______</w:t>
      </w:r>
      <w:r w:rsidR="00884B58" w:rsidRPr="00994D64">
        <w:rPr>
          <w:rFonts w:ascii="Times New Roman" w:hAnsi="Times New Roman" w:cs="Times New Roman"/>
          <w:sz w:val="24"/>
          <w:szCs w:val="24"/>
          <w:u w:val="single"/>
        </w:rPr>
        <w:t>Brad Jones</w:t>
      </w:r>
      <w:r w:rsidRPr="00994D64">
        <w:rPr>
          <w:rFonts w:ascii="Times New Roman" w:hAnsi="Times New Roman" w:cs="Times New Roman"/>
          <w:sz w:val="24"/>
          <w:szCs w:val="24"/>
        </w:rPr>
        <w:t>_________________________</w:t>
      </w:r>
    </w:p>
    <w:p w14:paraId="3907B585" w14:textId="77777777" w:rsidR="00537657" w:rsidRPr="00994D64" w:rsidRDefault="00537657">
      <w:pPr>
        <w:rPr>
          <w:rFonts w:ascii="Times New Roman" w:hAnsi="Times New Roman" w:cs="Times New Roman"/>
          <w:sz w:val="24"/>
          <w:szCs w:val="24"/>
        </w:rPr>
      </w:pPr>
    </w:p>
    <w:p w14:paraId="77CB784B" w14:textId="77777777" w:rsidR="00760FF7" w:rsidRPr="00994D64" w:rsidRDefault="0074718C" w:rsidP="00760FF7">
      <w:pPr>
        <w:pStyle w:val="ListParagraph"/>
        <w:numPr>
          <w:ilvl w:val="0"/>
          <w:numId w:val="1"/>
        </w:numPr>
        <w:rPr>
          <w:rFonts w:ascii="Times New Roman" w:hAnsi="Times New Roman" w:cs="Times New Roman"/>
          <w:sz w:val="24"/>
          <w:szCs w:val="24"/>
        </w:rPr>
      </w:pPr>
      <w:r w:rsidRPr="00994D64">
        <w:rPr>
          <w:rFonts w:ascii="Times New Roman" w:hAnsi="Times New Roman" w:cs="Times New Roman"/>
          <w:sz w:val="24"/>
          <w:szCs w:val="24"/>
        </w:rPr>
        <w:t>Please list the learning outcomes you assessed this year</w:t>
      </w:r>
      <w:r w:rsidR="009C473D" w:rsidRPr="00994D64">
        <w:rPr>
          <w:rFonts w:ascii="Times New Roman" w:hAnsi="Times New Roman" w:cs="Times New Roman"/>
          <w:sz w:val="24"/>
          <w:szCs w:val="24"/>
        </w:rPr>
        <w:t>.</w:t>
      </w:r>
    </w:p>
    <w:p w14:paraId="52CA358D" w14:textId="57B99431" w:rsidR="00884B58" w:rsidRPr="00994D64" w:rsidRDefault="00884B58" w:rsidP="00884B58">
      <w:pPr>
        <w:spacing w:after="200" w:line="276" w:lineRule="auto"/>
        <w:rPr>
          <w:rFonts w:ascii="Times New Roman" w:hAnsi="Times New Roman" w:cs="Times New Roman"/>
          <w:sz w:val="24"/>
          <w:szCs w:val="24"/>
        </w:rPr>
      </w:pPr>
      <w:r w:rsidRPr="00994D64">
        <w:rPr>
          <w:rFonts w:ascii="Times New Roman" w:hAnsi="Times New Roman" w:cs="Times New Roman"/>
          <w:b/>
          <w:bCs/>
          <w:sz w:val="24"/>
          <w:szCs w:val="24"/>
        </w:rPr>
        <w:t>SLO 5</w:t>
      </w:r>
      <w:r w:rsidRPr="00994D64">
        <w:rPr>
          <w:rFonts w:ascii="Times New Roman" w:hAnsi="Times New Roman" w:cs="Times New Roman"/>
          <w:sz w:val="24"/>
          <w:szCs w:val="24"/>
        </w:rPr>
        <w:t xml:space="preserve">:  Students will demonstrate critical thinking skills by developing a valid </w:t>
      </w:r>
      <w:r w:rsidR="004F279E" w:rsidRPr="00994D64">
        <w:rPr>
          <w:rFonts w:ascii="Times New Roman" w:hAnsi="Times New Roman" w:cs="Times New Roman"/>
          <w:sz w:val="24"/>
          <w:szCs w:val="24"/>
        </w:rPr>
        <w:t>evidence-based</w:t>
      </w:r>
      <w:r w:rsidRPr="00994D64">
        <w:rPr>
          <w:rFonts w:ascii="Times New Roman" w:hAnsi="Times New Roman" w:cs="Times New Roman"/>
          <w:sz w:val="24"/>
          <w:szCs w:val="24"/>
        </w:rPr>
        <w:t xml:space="preserve"> argument with relevant and specific examples linked to key points. </w:t>
      </w:r>
    </w:p>
    <w:p w14:paraId="65978038" w14:textId="2CA52F23" w:rsidR="00760FF7" w:rsidRPr="00994D64" w:rsidRDefault="00884B58" w:rsidP="00884B58">
      <w:pPr>
        <w:spacing w:after="200" w:line="276" w:lineRule="auto"/>
        <w:rPr>
          <w:rFonts w:ascii="Times New Roman" w:hAnsi="Times New Roman" w:cs="Times New Roman"/>
          <w:b/>
          <w:sz w:val="24"/>
          <w:szCs w:val="24"/>
        </w:rPr>
      </w:pPr>
      <w:r w:rsidRPr="00994D64">
        <w:rPr>
          <w:rFonts w:ascii="Times New Roman" w:hAnsi="Times New Roman" w:cs="Times New Roman"/>
          <w:b/>
          <w:bCs/>
          <w:sz w:val="24"/>
          <w:szCs w:val="24"/>
        </w:rPr>
        <w:t>SLO 7</w:t>
      </w:r>
      <w:r w:rsidRPr="00994D64">
        <w:rPr>
          <w:rFonts w:ascii="Times New Roman" w:hAnsi="Times New Roman" w:cs="Times New Roman"/>
          <w:sz w:val="24"/>
          <w:szCs w:val="24"/>
        </w:rPr>
        <w:t>: Students will give a presentation during class or at either a conference or an HGSA (History Graduate Students Association) Meeting.</w:t>
      </w:r>
    </w:p>
    <w:p w14:paraId="001ED14B" w14:textId="77777777" w:rsidR="00760FF7" w:rsidRPr="00994D64" w:rsidRDefault="00760FF7" w:rsidP="00760FF7">
      <w:pPr>
        <w:pStyle w:val="ListParagraph"/>
        <w:numPr>
          <w:ilvl w:val="0"/>
          <w:numId w:val="1"/>
        </w:numPr>
        <w:rPr>
          <w:rFonts w:ascii="Times New Roman" w:hAnsi="Times New Roman" w:cs="Times New Roman"/>
          <w:b/>
          <w:sz w:val="24"/>
          <w:szCs w:val="24"/>
        </w:rPr>
      </w:pPr>
      <w:r w:rsidRPr="00994D64">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994D64">
        <w:rPr>
          <w:rFonts w:ascii="Times New Roman" w:hAnsi="Times New Roman" w:cs="Times New Roman"/>
          <w:b/>
          <w:sz w:val="24"/>
          <w:szCs w:val="24"/>
        </w:rPr>
        <w:t xml:space="preserve">Please </w:t>
      </w:r>
      <w:r w:rsidRPr="00994D64">
        <w:rPr>
          <w:rFonts w:ascii="Times New Roman" w:hAnsi="Times New Roman" w:cs="Times New Roman"/>
          <w:b/>
          <w:sz w:val="24"/>
          <w:szCs w:val="24"/>
        </w:rPr>
        <w:t>describe the assignment and the criteria or rubric used to eval</w:t>
      </w:r>
      <w:r w:rsidR="0074718C" w:rsidRPr="00994D64">
        <w:rPr>
          <w:rFonts w:ascii="Times New Roman" w:hAnsi="Times New Roman" w:cs="Times New Roman"/>
          <w:b/>
          <w:sz w:val="24"/>
          <w:szCs w:val="24"/>
        </w:rPr>
        <w:t xml:space="preserve">uate the assignment in detail and, if possible, </w:t>
      </w:r>
      <w:r w:rsidRPr="00994D64">
        <w:rPr>
          <w:rFonts w:ascii="Times New Roman" w:hAnsi="Times New Roman" w:cs="Times New Roman"/>
          <w:b/>
          <w:sz w:val="24"/>
          <w:szCs w:val="24"/>
        </w:rPr>
        <w:t xml:space="preserve">include copies of the assignment and criteria/rubric at the end of this report. </w:t>
      </w:r>
    </w:p>
    <w:p w14:paraId="761F20E9" w14:textId="77777777" w:rsidR="00EE54A4" w:rsidRPr="00994D64" w:rsidRDefault="004F279E" w:rsidP="00EE54A4">
      <w:pPr>
        <w:ind w:left="360"/>
        <w:rPr>
          <w:rFonts w:ascii="Times New Roman" w:hAnsi="Times New Roman" w:cs="Times New Roman"/>
          <w:sz w:val="24"/>
          <w:szCs w:val="24"/>
        </w:rPr>
      </w:pPr>
      <w:r w:rsidRPr="00994D64">
        <w:rPr>
          <w:rFonts w:ascii="Times New Roman" w:hAnsi="Times New Roman" w:cs="Times New Roman"/>
          <w:sz w:val="24"/>
          <w:szCs w:val="24"/>
        </w:rPr>
        <w:t xml:space="preserve">The department reviewed four presentations given at the 2019 HGSA annual symposium.  Of the four presenters, two were second-year students, and the other two were in their first year in our program.  </w:t>
      </w:r>
      <w:r w:rsidR="00D06B8A" w:rsidRPr="00994D64">
        <w:rPr>
          <w:rFonts w:ascii="Times New Roman" w:hAnsi="Times New Roman" w:cs="Times New Roman"/>
          <w:sz w:val="24"/>
          <w:szCs w:val="24"/>
        </w:rPr>
        <w:t>This was our 21</w:t>
      </w:r>
      <w:r w:rsidR="00D06B8A" w:rsidRPr="00994D64">
        <w:rPr>
          <w:rFonts w:ascii="Times New Roman" w:hAnsi="Times New Roman" w:cs="Times New Roman"/>
          <w:sz w:val="24"/>
          <w:szCs w:val="24"/>
          <w:vertAlign w:val="superscript"/>
        </w:rPr>
        <w:t>st</w:t>
      </w:r>
      <w:r w:rsidR="00D06B8A" w:rsidRPr="00994D64">
        <w:rPr>
          <w:rFonts w:ascii="Times New Roman" w:hAnsi="Times New Roman" w:cs="Times New Roman"/>
          <w:sz w:val="24"/>
          <w:szCs w:val="24"/>
        </w:rPr>
        <w:t xml:space="preserve"> annual symposium, and it included </w:t>
      </w:r>
      <w:r w:rsidRPr="00994D64">
        <w:rPr>
          <w:rFonts w:ascii="Times New Roman" w:hAnsi="Times New Roman" w:cs="Times New Roman"/>
          <w:sz w:val="24"/>
          <w:szCs w:val="24"/>
        </w:rPr>
        <w:t xml:space="preserve">presenters from several UC and CSU </w:t>
      </w:r>
      <w:r w:rsidR="00D06B8A" w:rsidRPr="00994D64">
        <w:rPr>
          <w:rFonts w:ascii="Times New Roman" w:hAnsi="Times New Roman" w:cs="Times New Roman"/>
          <w:sz w:val="24"/>
          <w:szCs w:val="24"/>
        </w:rPr>
        <w:t>campus</w:t>
      </w:r>
      <w:r w:rsidRPr="00994D64">
        <w:rPr>
          <w:rFonts w:ascii="Times New Roman" w:hAnsi="Times New Roman" w:cs="Times New Roman"/>
          <w:sz w:val="24"/>
          <w:szCs w:val="24"/>
        </w:rPr>
        <w:t xml:space="preserve"> along with four MA students from Mississippi State University. </w:t>
      </w:r>
      <w:r w:rsidR="00D06B8A" w:rsidRPr="00994D64">
        <w:rPr>
          <w:rFonts w:ascii="Times New Roman" w:hAnsi="Times New Roman" w:cs="Times New Roman"/>
          <w:sz w:val="24"/>
          <w:szCs w:val="24"/>
        </w:rPr>
        <w:t xml:space="preserve">This is an appropriate event to assess our student’s oral presentation skills.  It is run as professional academic conference, and presenters are expected to deliver polished papers reflecting their best academic work to date.  </w:t>
      </w:r>
    </w:p>
    <w:p w14:paraId="34E7EE5F" w14:textId="091E79F0" w:rsidR="00760FF7" w:rsidRDefault="00D06B8A" w:rsidP="00EE54A4">
      <w:pPr>
        <w:ind w:left="360"/>
        <w:rPr>
          <w:rFonts w:ascii="Times New Roman" w:hAnsi="Times New Roman" w:cs="Times New Roman"/>
          <w:sz w:val="24"/>
          <w:szCs w:val="24"/>
        </w:rPr>
      </w:pPr>
      <w:r w:rsidRPr="00994D64">
        <w:rPr>
          <w:rFonts w:ascii="Times New Roman" w:hAnsi="Times New Roman" w:cs="Times New Roman"/>
          <w:sz w:val="24"/>
          <w:szCs w:val="24"/>
        </w:rPr>
        <w:t xml:space="preserve">We used the </w:t>
      </w:r>
      <w:r w:rsidR="00EE54A4" w:rsidRPr="00994D64">
        <w:rPr>
          <w:rFonts w:ascii="Times New Roman" w:hAnsi="Times New Roman" w:cs="Times New Roman"/>
          <w:sz w:val="24"/>
          <w:szCs w:val="24"/>
        </w:rPr>
        <w:t xml:space="preserve">Association of American Colleges and Universities’ (AACU) Oral Communication Value Rubric. The rubric includes five categories, which broadly speaking, assess the </w:t>
      </w:r>
      <w:r w:rsidR="00D35DF1">
        <w:rPr>
          <w:rFonts w:ascii="Times New Roman" w:hAnsi="Times New Roman" w:cs="Times New Roman"/>
          <w:sz w:val="24"/>
          <w:szCs w:val="24"/>
        </w:rPr>
        <w:t>quality</w:t>
      </w:r>
      <w:r w:rsidR="00EE54A4" w:rsidRPr="00994D64">
        <w:rPr>
          <w:rFonts w:ascii="Times New Roman" w:hAnsi="Times New Roman" w:cs="Times New Roman"/>
          <w:sz w:val="24"/>
          <w:szCs w:val="24"/>
        </w:rPr>
        <w:t xml:space="preserve"> of delivery</w:t>
      </w:r>
      <w:r w:rsidR="00D35DF1">
        <w:rPr>
          <w:rFonts w:ascii="Times New Roman" w:hAnsi="Times New Roman" w:cs="Times New Roman"/>
          <w:sz w:val="24"/>
          <w:szCs w:val="24"/>
        </w:rPr>
        <w:t xml:space="preserve"> </w:t>
      </w:r>
      <w:r w:rsidR="00460666">
        <w:rPr>
          <w:rFonts w:ascii="Times New Roman" w:hAnsi="Times New Roman" w:cs="Times New Roman"/>
          <w:sz w:val="24"/>
          <w:szCs w:val="24"/>
        </w:rPr>
        <w:t xml:space="preserve">(SLO 7) </w:t>
      </w:r>
      <w:r w:rsidR="00D35DF1">
        <w:rPr>
          <w:rFonts w:ascii="Times New Roman" w:hAnsi="Times New Roman" w:cs="Times New Roman"/>
          <w:sz w:val="24"/>
          <w:szCs w:val="24"/>
        </w:rPr>
        <w:t>and</w:t>
      </w:r>
      <w:r w:rsidR="000939F4">
        <w:rPr>
          <w:rFonts w:ascii="Times New Roman" w:hAnsi="Times New Roman" w:cs="Times New Roman"/>
          <w:sz w:val="24"/>
          <w:szCs w:val="24"/>
        </w:rPr>
        <w:t xml:space="preserve"> the strength and clarity of their argument</w:t>
      </w:r>
      <w:r w:rsidR="00460666">
        <w:rPr>
          <w:rFonts w:ascii="Times New Roman" w:hAnsi="Times New Roman" w:cs="Times New Roman"/>
          <w:sz w:val="24"/>
          <w:szCs w:val="24"/>
        </w:rPr>
        <w:t xml:space="preserve"> (SLO 5)</w:t>
      </w:r>
      <w:r w:rsidR="00EE54A4" w:rsidRPr="00994D64">
        <w:rPr>
          <w:rFonts w:ascii="Times New Roman" w:hAnsi="Times New Roman" w:cs="Times New Roman"/>
          <w:sz w:val="24"/>
          <w:szCs w:val="24"/>
        </w:rPr>
        <w:t>.  Students were expected to receive a</w:t>
      </w:r>
      <w:r w:rsidR="000939F4">
        <w:rPr>
          <w:rFonts w:ascii="Times New Roman" w:hAnsi="Times New Roman" w:cs="Times New Roman"/>
          <w:sz w:val="24"/>
          <w:szCs w:val="24"/>
        </w:rPr>
        <w:t>t least a</w:t>
      </w:r>
      <w:r w:rsidR="00EE54A4" w:rsidRPr="00994D64">
        <w:rPr>
          <w:rFonts w:ascii="Times New Roman" w:hAnsi="Times New Roman" w:cs="Times New Roman"/>
          <w:sz w:val="24"/>
          <w:szCs w:val="24"/>
        </w:rPr>
        <w:t xml:space="preserve"> 3 out of 4 on all rubric</w:t>
      </w:r>
      <w:r w:rsidR="00EE54A4" w:rsidRPr="00EE54A4">
        <w:rPr>
          <w:rFonts w:ascii="Times New Roman" w:hAnsi="Times New Roman" w:cs="Times New Roman"/>
          <w:sz w:val="24"/>
          <w:szCs w:val="24"/>
        </w:rPr>
        <w:t xml:space="preserve"> criteria.</w:t>
      </w:r>
      <w:r w:rsidR="00EE54A4">
        <w:rPr>
          <w:rFonts w:ascii="Times New Roman" w:hAnsi="Times New Roman" w:cs="Times New Roman"/>
          <w:sz w:val="24"/>
          <w:szCs w:val="24"/>
        </w:rPr>
        <w:t xml:space="preserve"> The rubric is attached to the end of this report.</w:t>
      </w:r>
    </w:p>
    <w:p w14:paraId="7F945F30" w14:textId="77777777" w:rsidR="00EE54A4" w:rsidRDefault="00EE54A4" w:rsidP="00EE54A4">
      <w:pPr>
        <w:ind w:left="360"/>
        <w:rPr>
          <w:rFonts w:ascii="Times New Roman" w:hAnsi="Times New Roman" w:cs="Times New Roman"/>
          <w:sz w:val="24"/>
          <w:szCs w:val="24"/>
        </w:rPr>
      </w:pPr>
    </w:p>
    <w:p w14:paraId="40B0865B" w14:textId="7A14BD41" w:rsidR="00760FF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lastRenderedPageBreak/>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1CB764FC" w14:textId="26EA5786" w:rsidR="004B1929" w:rsidRDefault="004B1929" w:rsidP="00AF672E">
      <w:p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We were only able to review four oral presentations, </w:t>
      </w:r>
      <w:r w:rsidR="00DC796C">
        <w:rPr>
          <w:rFonts w:ascii="Times New Roman" w:hAnsi="Times New Roman" w:cs="Times New Roman"/>
          <w:sz w:val="24"/>
          <w:szCs w:val="24"/>
        </w:rPr>
        <w:t xml:space="preserve">all of </w:t>
      </w:r>
      <w:r>
        <w:rPr>
          <w:rFonts w:ascii="Times New Roman" w:hAnsi="Times New Roman" w:cs="Times New Roman"/>
          <w:sz w:val="24"/>
          <w:szCs w:val="24"/>
        </w:rPr>
        <w:t>which took place at our annual graduate symposium in April. This number</w:t>
      </w:r>
      <w:r w:rsidR="00DC796C">
        <w:rPr>
          <w:rFonts w:ascii="Times New Roman" w:hAnsi="Times New Roman" w:cs="Times New Roman"/>
          <w:sz w:val="24"/>
          <w:szCs w:val="24"/>
        </w:rPr>
        <w:t xml:space="preserve"> is low in comparison</w:t>
      </w:r>
      <w:r>
        <w:rPr>
          <w:rFonts w:ascii="Times New Roman" w:hAnsi="Times New Roman" w:cs="Times New Roman"/>
          <w:sz w:val="24"/>
          <w:szCs w:val="24"/>
        </w:rPr>
        <w:t xml:space="preserve"> to previous years, where we would typically have somewhere between seven and ten </w:t>
      </w:r>
      <w:r w:rsidR="00B31609">
        <w:rPr>
          <w:rFonts w:ascii="Times New Roman" w:hAnsi="Times New Roman" w:cs="Times New Roman"/>
          <w:sz w:val="24"/>
          <w:szCs w:val="24"/>
        </w:rPr>
        <w:t>of our students present</w:t>
      </w:r>
      <w:r>
        <w:rPr>
          <w:rFonts w:ascii="Times New Roman" w:hAnsi="Times New Roman" w:cs="Times New Roman"/>
          <w:sz w:val="24"/>
          <w:szCs w:val="24"/>
        </w:rPr>
        <w:t>.  All four presenters performed at an advanced level</w:t>
      </w:r>
      <w:r w:rsidR="002107F2">
        <w:rPr>
          <w:rFonts w:ascii="Times New Roman" w:hAnsi="Times New Roman" w:cs="Times New Roman"/>
          <w:sz w:val="24"/>
          <w:szCs w:val="24"/>
        </w:rPr>
        <w:t>, receiving scores of 4 on Organization, Language, Supporting Material, and Central Message</w:t>
      </w:r>
      <w:r w:rsidR="002107F2" w:rsidRPr="002107F2">
        <w:rPr>
          <w:rFonts w:ascii="Times New Roman" w:hAnsi="Times New Roman" w:cs="Times New Roman"/>
          <w:sz w:val="24"/>
          <w:szCs w:val="24"/>
        </w:rPr>
        <w:t xml:space="preserve"> </w:t>
      </w:r>
      <w:r w:rsidR="002107F2">
        <w:rPr>
          <w:rFonts w:ascii="Times New Roman" w:hAnsi="Times New Roman" w:cs="Times New Roman"/>
          <w:sz w:val="24"/>
          <w:szCs w:val="24"/>
        </w:rPr>
        <w:t xml:space="preserve">on the Oral Communication Value Rubric scoring system.  Two of the students also scored a 4 on Delivery, while the other two scored a 2 for showing signs of nervousness.  </w:t>
      </w:r>
      <w:r>
        <w:rPr>
          <w:rFonts w:ascii="Times New Roman" w:hAnsi="Times New Roman" w:cs="Times New Roman"/>
          <w:sz w:val="24"/>
          <w:szCs w:val="24"/>
        </w:rPr>
        <w:t>Presenter #1 delivered an engaging</w:t>
      </w:r>
      <w:r w:rsidR="00AF672E">
        <w:rPr>
          <w:rFonts w:ascii="Times New Roman" w:hAnsi="Times New Roman" w:cs="Times New Roman"/>
          <w:sz w:val="24"/>
          <w:szCs w:val="24"/>
        </w:rPr>
        <w:t xml:space="preserve"> and thoughtful</w:t>
      </w:r>
      <w:r>
        <w:rPr>
          <w:rFonts w:ascii="Times New Roman" w:hAnsi="Times New Roman" w:cs="Times New Roman"/>
          <w:sz w:val="24"/>
          <w:szCs w:val="24"/>
        </w:rPr>
        <w:t xml:space="preserve"> paper </w:t>
      </w:r>
      <w:r w:rsidRPr="004B1929">
        <w:rPr>
          <w:rFonts w:ascii="Times New Roman" w:eastAsia="Times New Roman" w:hAnsi="Times New Roman" w:cs="Times New Roman"/>
          <w:color w:val="222222"/>
          <w:sz w:val="24"/>
          <w:szCs w:val="24"/>
        </w:rPr>
        <w:t xml:space="preserve">on how the Nixon administration manipulated news coverage to get more sympathetic coverage during the final two years </w:t>
      </w:r>
      <w:r>
        <w:rPr>
          <w:rFonts w:ascii="Times New Roman" w:eastAsia="Times New Roman" w:hAnsi="Times New Roman" w:cs="Times New Roman"/>
          <w:color w:val="222222"/>
          <w:sz w:val="24"/>
          <w:szCs w:val="24"/>
        </w:rPr>
        <w:t>his presidency.</w:t>
      </w:r>
      <w:r w:rsidR="002107F2">
        <w:rPr>
          <w:rFonts w:ascii="Times New Roman" w:eastAsia="Times New Roman" w:hAnsi="Times New Roman" w:cs="Times New Roman"/>
          <w:color w:val="222222"/>
          <w:sz w:val="24"/>
          <w:szCs w:val="24"/>
        </w:rPr>
        <w:t xml:space="preserve">  He was confident and polished in the delivery of his paper.</w:t>
      </w:r>
      <w:r>
        <w:rPr>
          <w:rFonts w:ascii="Times New Roman" w:eastAsia="Times New Roman" w:hAnsi="Times New Roman" w:cs="Times New Roman"/>
          <w:color w:val="222222"/>
          <w:sz w:val="24"/>
          <w:szCs w:val="24"/>
        </w:rPr>
        <w:t xml:space="preserve">  Presenter #2 looked at the famed female baseball player, Jackie Mitchell, who pitched for a minor league men’s baseball team during the Depression</w:t>
      </w:r>
      <w:r w:rsidR="002107F2">
        <w:rPr>
          <w:rFonts w:ascii="Times New Roman" w:eastAsia="Times New Roman" w:hAnsi="Times New Roman" w:cs="Times New Roman"/>
          <w:color w:val="222222"/>
          <w:sz w:val="24"/>
          <w:szCs w:val="24"/>
        </w:rPr>
        <w:t xml:space="preserve"> Era</w:t>
      </w:r>
      <w:r>
        <w:rPr>
          <w:rFonts w:ascii="Times New Roman" w:eastAsia="Times New Roman" w:hAnsi="Times New Roman" w:cs="Times New Roman"/>
          <w:color w:val="222222"/>
          <w:sz w:val="24"/>
          <w:szCs w:val="24"/>
        </w:rPr>
        <w:t xml:space="preserve">.  His presentation was organized and engaging, though </w:t>
      </w:r>
      <w:r w:rsidR="00AF672E">
        <w:rPr>
          <w:rFonts w:ascii="Times New Roman" w:eastAsia="Times New Roman" w:hAnsi="Times New Roman" w:cs="Times New Roman"/>
          <w:color w:val="222222"/>
          <w:sz w:val="24"/>
          <w:szCs w:val="24"/>
        </w:rPr>
        <w:t xml:space="preserve">he appeared nervous throughout and tended to speak too fast.  Presenter #3’s well-researched paper dealt with local history, examining the role of Chicanas in the Civil Rights protests of the 1960s and 1970s in Fresno County.  She delivered the </w:t>
      </w:r>
      <w:r w:rsidRPr="004B1929">
        <w:rPr>
          <w:rFonts w:ascii="Times New Roman" w:eastAsia="Times New Roman" w:hAnsi="Times New Roman" w:cs="Times New Roman"/>
          <w:color w:val="222222"/>
          <w:sz w:val="24"/>
          <w:szCs w:val="24"/>
        </w:rPr>
        <w:t xml:space="preserve">paper with enthusiasm, though </w:t>
      </w:r>
      <w:r w:rsidR="00AF672E">
        <w:rPr>
          <w:rFonts w:ascii="Times New Roman" w:eastAsia="Times New Roman" w:hAnsi="Times New Roman" w:cs="Times New Roman"/>
          <w:color w:val="222222"/>
          <w:sz w:val="24"/>
          <w:szCs w:val="24"/>
        </w:rPr>
        <w:t>she too was nervous and tended to speak too fast</w:t>
      </w:r>
      <w:r w:rsidRPr="004B1929">
        <w:rPr>
          <w:rFonts w:ascii="Times New Roman" w:eastAsia="Times New Roman" w:hAnsi="Times New Roman" w:cs="Times New Roman"/>
          <w:color w:val="222222"/>
          <w:sz w:val="24"/>
          <w:szCs w:val="24"/>
        </w:rPr>
        <w:t>.</w:t>
      </w:r>
      <w:r w:rsidR="00AF672E">
        <w:rPr>
          <w:rFonts w:ascii="Times New Roman" w:eastAsia="Times New Roman" w:hAnsi="Times New Roman" w:cs="Times New Roman"/>
          <w:color w:val="222222"/>
          <w:sz w:val="24"/>
          <w:szCs w:val="24"/>
        </w:rPr>
        <w:t xml:space="preserve"> Presenter #4 examined women’s activism in pre-Pinochet Chile, a subject that has received very little attention by historians.  She was confident, enthusiastic, and her argument was clear and engaging. </w:t>
      </w:r>
    </w:p>
    <w:p w14:paraId="14E5CF58" w14:textId="74EDD433" w:rsidR="000F5DD5" w:rsidRPr="004B1929" w:rsidRDefault="00DC796C" w:rsidP="00AF67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While all four presenters met or exceeded our expectations, there is room for improvement.  First, our students would benefit from a greater number of low-stakes presentation opportunities, where they could practice their deliveries and become more comfortable with speaking in front of an audience.  Perhaps this is something that could be practiced in the introductory graduate methods courses (Hist 200A and Hist 200B).  We also need to spend more time working with our students on how to write effective and engaging conference papers, which differ considerably from </w:t>
      </w:r>
      <w:r w:rsidR="002107F2">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more common</w:t>
      </w:r>
      <w:r w:rsidR="002107F2">
        <w:rPr>
          <w:rFonts w:ascii="Times New Roman" w:eastAsia="Times New Roman" w:hAnsi="Times New Roman" w:cs="Times New Roman"/>
          <w:color w:val="222222"/>
          <w:sz w:val="24"/>
          <w:szCs w:val="24"/>
        </w:rPr>
        <w:t>ly assigned</w:t>
      </w:r>
      <w:r>
        <w:rPr>
          <w:rFonts w:ascii="Times New Roman" w:eastAsia="Times New Roman" w:hAnsi="Times New Roman" w:cs="Times New Roman"/>
          <w:color w:val="222222"/>
          <w:sz w:val="24"/>
          <w:szCs w:val="24"/>
        </w:rPr>
        <w:t xml:space="preserve"> research</w:t>
      </w:r>
      <w:r w:rsidR="002107F2">
        <w:rPr>
          <w:rFonts w:ascii="Times New Roman" w:eastAsia="Times New Roman" w:hAnsi="Times New Roman" w:cs="Times New Roman"/>
          <w:color w:val="222222"/>
          <w:sz w:val="24"/>
          <w:szCs w:val="24"/>
        </w:rPr>
        <w:t xml:space="preserve"> or historiographical essays</w:t>
      </w:r>
      <w:r>
        <w:rPr>
          <w:rFonts w:ascii="Times New Roman" w:eastAsia="Times New Roman" w:hAnsi="Times New Roman" w:cs="Times New Roman"/>
          <w:color w:val="222222"/>
          <w:sz w:val="24"/>
          <w:szCs w:val="24"/>
        </w:rPr>
        <w:t>.  This is also something that could be covered in the introductory graduate methods courses</w:t>
      </w:r>
      <w:r w:rsidR="002107F2">
        <w:rPr>
          <w:rFonts w:ascii="Times New Roman" w:eastAsia="Times New Roman" w:hAnsi="Times New Roman" w:cs="Times New Roman"/>
          <w:color w:val="222222"/>
          <w:sz w:val="24"/>
          <w:szCs w:val="24"/>
        </w:rPr>
        <w:t xml:space="preserve"> or even be assigned as a final paper in a Topics course</w:t>
      </w:r>
      <w:r>
        <w:rPr>
          <w:rFonts w:ascii="Times New Roman" w:eastAsia="Times New Roman" w:hAnsi="Times New Roman" w:cs="Times New Roman"/>
          <w:color w:val="222222"/>
          <w:sz w:val="24"/>
          <w:szCs w:val="24"/>
        </w:rPr>
        <w:t>.</w:t>
      </w:r>
      <w:r w:rsidR="002107F2">
        <w:rPr>
          <w:rFonts w:ascii="Times New Roman" w:eastAsia="Times New Roman" w:hAnsi="Times New Roman" w:cs="Times New Roman"/>
          <w:color w:val="222222"/>
          <w:sz w:val="24"/>
          <w:szCs w:val="24"/>
        </w:rPr>
        <w:t xml:space="preserve">  Lastly, we need to do a better job with getting all of our thesis students to present their research at our symposium.  Presenting research is a critical part of our profession.  It is an opportunity to share new research with your peers, to receive valuable feedback, and to</w:t>
      </w:r>
      <w:r w:rsidR="00AE636E">
        <w:rPr>
          <w:rFonts w:ascii="Times New Roman" w:eastAsia="Times New Roman" w:hAnsi="Times New Roman" w:cs="Times New Roman"/>
          <w:color w:val="222222"/>
          <w:sz w:val="24"/>
          <w:szCs w:val="24"/>
        </w:rPr>
        <w:t xml:space="preserve"> use that feedback to improve your work.  Our first year students, in particular, would benefit from getting early criticism of their work, which could direct them to new research, and help them to refine their argument.  </w:t>
      </w:r>
    </w:p>
    <w:p w14:paraId="4F1F34B6" w14:textId="77777777" w:rsidR="00760FF7" w:rsidRPr="00760FF7" w:rsidRDefault="00760FF7" w:rsidP="00760FF7">
      <w:pPr>
        <w:rPr>
          <w:rFonts w:ascii="Times New Roman" w:hAnsi="Times New Roman" w:cs="Times New Roman"/>
          <w:sz w:val="24"/>
          <w:szCs w:val="24"/>
        </w:rPr>
      </w:pPr>
    </w:p>
    <w:p w14:paraId="7B361A48"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659B3922" w14:textId="7B3C413D" w:rsidR="00760FF7" w:rsidRDefault="00884B58" w:rsidP="00760FF7">
      <w:pPr>
        <w:rPr>
          <w:rFonts w:ascii="Times New Roman" w:hAnsi="Times New Roman" w:cs="Times New Roman"/>
          <w:sz w:val="24"/>
          <w:szCs w:val="24"/>
        </w:rPr>
      </w:pPr>
      <w:r w:rsidRPr="00884B58">
        <w:rPr>
          <w:rFonts w:ascii="Times New Roman" w:hAnsi="Times New Roman" w:cs="Times New Roman"/>
          <w:sz w:val="24"/>
          <w:szCs w:val="24"/>
        </w:rPr>
        <w:t xml:space="preserve">The department will not make any changes to the program since all students at least met the requirements.  The findings of this assessment report – that students demonstrated an advanced proficiency in </w:t>
      </w:r>
      <w:r w:rsidR="00AE636E">
        <w:rPr>
          <w:rFonts w:ascii="Times New Roman" w:hAnsi="Times New Roman" w:cs="Times New Roman"/>
          <w:sz w:val="24"/>
          <w:szCs w:val="24"/>
        </w:rPr>
        <w:t>oral presentations</w:t>
      </w:r>
      <w:r w:rsidRPr="00884B58">
        <w:rPr>
          <w:rFonts w:ascii="Times New Roman" w:hAnsi="Times New Roman" w:cs="Times New Roman"/>
          <w:sz w:val="24"/>
          <w:szCs w:val="24"/>
        </w:rPr>
        <w:t xml:space="preserve"> – will be shared with the department</w:t>
      </w:r>
    </w:p>
    <w:p w14:paraId="65AA7942" w14:textId="77777777" w:rsidR="00760FF7" w:rsidRPr="00760FF7" w:rsidRDefault="00760FF7" w:rsidP="00760FF7">
      <w:pPr>
        <w:rPr>
          <w:rFonts w:ascii="Times New Roman" w:hAnsi="Times New Roman" w:cs="Times New Roman"/>
          <w:sz w:val="24"/>
          <w:szCs w:val="24"/>
        </w:rPr>
      </w:pPr>
    </w:p>
    <w:p w14:paraId="57FAC0FA" w14:textId="42B04A04"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6D5BC41F" w14:textId="2A9C5A5F" w:rsidR="00AE636E" w:rsidRPr="00760FF7" w:rsidRDefault="00994D64" w:rsidP="00760FF7">
      <w:pPr>
        <w:rPr>
          <w:rFonts w:ascii="Times New Roman" w:hAnsi="Times New Roman" w:cs="Times New Roman"/>
          <w:sz w:val="24"/>
          <w:szCs w:val="24"/>
        </w:rPr>
      </w:pPr>
      <w:r>
        <w:rPr>
          <w:rFonts w:ascii="Times New Roman" w:hAnsi="Times New Roman" w:cs="Times New Roman"/>
          <w:sz w:val="24"/>
          <w:szCs w:val="24"/>
        </w:rPr>
        <w:t>N/A</w:t>
      </w:r>
    </w:p>
    <w:p w14:paraId="2841865D"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3A1C772E" w14:textId="747FBFFC" w:rsidR="00760FF7" w:rsidRDefault="00D90647" w:rsidP="00760FF7">
      <w:r w:rsidRPr="00D90647">
        <w:rPr>
          <w:rFonts w:ascii="Times New Roman" w:hAnsi="Times New Roman" w:cs="Times New Roman"/>
          <w:sz w:val="24"/>
          <w:szCs w:val="24"/>
        </w:rPr>
        <w:t>During the 201</w:t>
      </w:r>
      <w:r>
        <w:rPr>
          <w:rFonts w:ascii="Times New Roman" w:hAnsi="Times New Roman" w:cs="Times New Roman"/>
          <w:sz w:val="24"/>
          <w:szCs w:val="24"/>
        </w:rPr>
        <w:t>9</w:t>
      </w:r>
      <w:r w:rsidRPr="00D90647">
        <w:rPr>
          <w:rFonts w:ascii="Times New Roman" w:hAnsi="Times New Roman" w:cs="Times New Roman"/>
          <w:sz w:val="24"/>
          <w:szCs w:val="24"/>
        </w:rPr>
        <w:t>-20</w:t>
      </w:r>
      <w:r>
        <w:rPr>
          <w:rFonts w:ascii="Times New Roman" w:hAnsi="Times New Roman" w:cs="Times New Roman"/>
          <w:sz w:val="24"/>
          <w:szCs w:val="24"/>
        </w:rPr>
        <w:t>20</w:t>
      </w:r>
      <w:r w:rsidRPr="00D90647">
        <w:rPr>
          <w:rFonts w:ascii="Times New Roman" w:hAnsi="Times New Roman" w:cs="Times New Roman"/>
          <w:sz w:val="24"/>
          <w:szCs w:val="24"/>
        </w:rPr>
        <w:t xml:space="preserve"> academic year, the department will be reviewing student </w:t>
      </w:r>
      <w:r w:rsidR="00650506">
        <w:rPr>
          <w:rFonts w:ascii="Times New Roman" w:hAnsi="Times New Roman" w:cs="Times New Roman"/>
          <w:sz w:val="24"/>
          <w:szCs w:val="24"/>
        </w:rPr>
        <w:t>content knowledge, research metho</w:t>
      </w:r>
      <w:r w:rsidR="00AE636E">
        <w:rPr>
          <w:rFonts w:ascii="Times New Roman" w:hAnsi="Times New Roman" w:cs="Times New Roman"/>
          <w:sz w:val="24"/>
          <w:szCs w:val="24"/>
        </w:rPr>
        <w:t>d</w:t>
      </w:r>
      <w:r w:rsidR="00650506">
        <w:rPr>
          <w:rFonts w:ascii="Times New Roman" w:hAnsi="Times New Roman" w:cs="Times New Roman"/>
          <w:sz w:val="24"/>
          <w:szCs w:val="24"/>
        </w:rPr>
        <w:t>s, and level of writing</w:t>
      </w:r>
      <w:r w:rsidRPr="00D90647">
        <w:rPr>
          <w:rFonts w:ascii="Times New Roman" w:hAnsi="Times New Roman" w:cs="Times New Roman"/>
          <w:sz w:val="24"/>
          <w:szCs w:val="24"/>
        </w:rPr>
        <w:t xml:space="preserve"> in </w:t>
      </w:r>
      <w:r>
        <w:rPr>
          <w:rFonts w:ascii="Times New Roman" w:hAnsi="Times New Roman" w:cs="Times New Roman"/>
          <w:sz w:val="24"/>
          <w:szCs w:val="24"/>
        </w:rPr>
        <w:t>Hist 200B research papers</w:t>
      </w:r>
      <w:r w:rsidRPr="00D90647">
        <w:rPr>
          <w:rFonts w:ascii="Times New Roman" w:hAnsi="Times New Roman" w:cs="Times New Roman"/>
          <w:sz w:val="24"/>
          <w:szCs w:val="24"/>
        </w:rPr>
        <w:t xml:space="preserve">. </w:t>
      </w:r>
    </w:p>
    <w:p w14:paraId="7A2C1DB6" w14:textId="77777777" w:rsidR="00994D64" w:rsidRPr="00760FF7" w:rsidRDefault="00994D64" w:rsidP="00760FF7">
      <w:pPr>
        <w:rPr>
          <w:rFonts w:ascii="Times New Roman" w:hAnsi="Times New Roman" w:cs="Times New Roman"/>
          <w:sz w:val="24"/>
          <w:szCs w:val="24"/>
        </w:rPr>
      </w:pPr>
    </w:p>
    <w:p w14:paraId="711501CA" w14:textId="74238F84"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14:paraId="1345A009" w14:textId="63886A7C" w:rsidR="00650506" w:rsidRDefault="00650506" w:rsidP="00650506">
      <w:pPr>
        <w:rPr>
          <w:rFonts w:ascii="Times New Roman" w:hAnsi="Times New Roman" w:cs="Times New Roman"/>
          <w:sz w:val="24"/>
          <w:szCs w:val="24"/>
        </w:rPr>
      </w:pPr>
      <w:r>
        <w:rPr>
          <w:rFonts w:ascii="Times New Roman" w:hAnsi="Times New Roman" w:cs="Times New Roman"/>
          <w:sz w:val="24"/>
          <w:szCs w:val="24"/>
        </w:rPr>
        <w:t xml:space="preserve">We completed a program review in Spring 2019.  I am scheduled to meet with the University Graduate Committee on October 8, which will conclude the review process. I have included our response to the Review Committee’s recommendations, which will serve as the basis for our </w:t>
      </w:r>
      <w:r w:rsidR="00AE636E">
        <w:rPr>
          <w:rFonts w:ascii="Times New Roman" w:hAnsi="Times New Roman" w:cs="Times New Roman"/>
          <w:sz w:val="24"/>
          <w:szCs w:val="24"/>
        </w:rPr>
        <w:t xml:space="preserve">new </w:t>
      </w:r>
      <w:r>
        <w:rPr>
          <w:rFonts w:ascii="Times New Roman" w:hAnsi="Times New Roman" w:cs="Times New Roman"/>
          <w:sz w:val="24"/>
          <w:szCs w:val="24"/>
        </w:rPr>
        <w:t>Action Plan.</w:t>
      </w:r>
    </w:p>
    <w:p w14:paraId="1E30DABA" w14:textId="7DBA42F2"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sz w:val="24"/>
          <w:szCs w:val="24"/>
        </w:rPr>
        <w:t>The review team offered recommendations in five areas:</w:t>
      </w:r>
    </w:p>
    <w:p w14:paraId="6AEB0385" w14:textId="0CC137AB" w:rsidR="00650506" w:rsidRPr="00650506" w:rsidRDefault="00650506" w:rsidP="00650506">
      <w:pPr>
        <w:numPr>
          <w:ilvl w:val="0"/>
          <w:numId w:val="4"/>
        </w:numPr>
        <w:rPr>
          <w:rFonts w:ascii="Times New Roman" w:hAnsi="Times New Roman" w:cs="Times New Roman"/>
          <w:b/>
          <w:bCs/>
          <w:sz w:val="24"/>
          <w:szCs w:val="24"/>
        </w:rPr>
      </w:pPr>
      <w:r w:rsidRPr="00650506">
        <w:rPr>
          <w:rFonts w:ascii="Times New Roman" w:hAnsi="Times New Roman" w:cs="Times New Roman"/>
          <w:b/>
          <w:bCs/>
          <w:sz w:val="24"/>
          <w:szCs w:val="24"/>
        </w:rPr>
        <w:t>Curriculum</w:t>
      </w:r>
    </w:p>
    <w:p w14:paraId="06DD5709" w14:textId="6B8144A1"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Recommendation 1:</w:t>
      </w:r>
      <w:r w:rsidRPr="00650506">
        <w:rPr>
          <w:rFonts w:ascii="Times New Roman" w:hAnsi="Times New Roman" w:cs="Times New Roman"/>
          <w:sz w:val="24"/>
          <w:szCs w:val="24"/>
        </w:rPr>
        <w:t xml:space="preserve"> The reviewers urged the department to formalize the recent changes to Hist 200A and 200B to allow for a more standardized student experience in these two courses.</w:t>
      </w:r>
    </w:p>
    <w:p w14:paraId="1D9674A6" w14:textId="5932C674"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 xml:space="preserve">Department Response: </w:t>
      </w:r>
      <w:r w:rsidRPr="00650506">
        <w:rPr>
          <w:rFonts w:ascii="Times New Roman" w:hAnsi="Times New Roman" w:cs="Times New Roman"/>
          <w:sz w:val="24"/>
          <w:szCs w:val="24"/>
        </w:rPr>
        <w:t xml:space="preserve">We agree with this recommendation. These changes have helped our students to find viable thesis projects sooner, and to better grasp the requisite disciplinary skills needed to research and write in our field.  While the department is often correct to resist efforts to standardize our courses, these two introductory classes serve a very different purpose than the other required courses in our program.   </w:t>
      </w:r>
    </w:p>
    <w:p w14:paraId="5FDB8E6C" w14:textId="77777777" w:rsidR="00650506" w:rsidRDefault="00650506" w:rsidP="00650506">
      <w:pPr>
        <w:rPr>
          <w:rFonts w:ascii="Times New Roman" w:hAnsi="Times New Roman" w:cs="Times New Roman"/>
          <w:b/>
          <w:bCs/>
          <w:sz w:val="24"/>
          <w:szCs w:val="24"/>
        </w:rPr>
      </w:pPr>
    </w:p>
    <w:p w14:paraId="6676A4AE" w14:textId="3293817E"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 xml:space="preserve">Recommendation 2: </w:t>
      </w:r>
      <w:r w:rsidRPr="00650506">
        <w:rPr>
          <w:rFonts w:ascii="Times New Roman" w:hAnsi="Times New Roman" w:cs="Times New Roman"/>
          <w:sz w:val="24"/>
          <w:szCs w:val="24"/>
        </w:rPr>
        <w:t xml:space="preserve">The report observes that given our department’s investment in growing our public history program, the committee suggests we should diversify course and research opportunities to appeal to the divergent interests of our students.  </w:t>
      </w:r>
    </w:p>
    <w:p w14:paraId="7098925B" w14:textId="77777777"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 xml:space="preserve">Response: </w:t>
      </w:r>
      <w:r w:rsidRPr="00650506">
        <w:rPr>
          <w:rFonts w:ascii="Times New Roman" w:hAnsi="Times New Roman" w:cs="Times New Roman"/>
          <w:sz w:val="24"/>
          <w:szCs w:val="24"/>
        </w:rPr>
        <w:t xml:space="preserve">We agree with this recommendation. Provided the necessary resources, the department hopes to offer more seminars and paid public history internships to expose our students to a diverse array of public history projects and programs. </w:t>
      </w:r>
    </w:p>
    <w:p w14:paraId="601505E6" w14:textId="77777777" w:rsidR="00650506" w:rsidRPr="00650506" w:rsidRDefault="00650506" w:rsidP="00650506">
      <w:pPr>
        <w:rPr>
          <w:rFonts w:ascii="Times New Roman" w:hAnsi="Times New Roman" w:cs="Times New Roman"/>
          <w:sz w:val="24"/>
          <w:szCs w:val="24"/>
        </w:rPr>
      </w:pPr>
    </w:p>
    <w:p w14:paraId="324AA571" w14:textId="04F3A24D"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 xml:space="preserve">Recommendation 3: </w:t>
      </w:r>
      <w:r w:rsidRPr="00650506">
        <w:rPr>
          <w:rFonts w:ascii="Times New Roman" w:hAnsi="Times New Roman" w:cs="Times New Roman"/>
          <w:sz w:val="24"/>
          <w:szCs w:val="24"/>
        </w:rPr>
        <w:t xml:space="preserve">The committee supports the department’s self-study recommendation that we make the Teaching Option available not just to current teachers, but to aspiring secondary educators as well.  </w:t>
      </w:r>
    </w:p>
    <w:p w14:paraId="74B9A9A1" w14:textId="77777777"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lastRenderedPageBreak/>
        <w:t>Response:</w:t>
      </w:r>
      <w:r w:rsidRPr="00650506">
        <w:rPr>
          <w:rFonts w:ascii="Times New Roman" w:hAnsi="Times New Roman" w:cs="Times New Roman"/>
          <w:sz w:val="24"/>
          <w:szCs w:val="24"/>
        </w:rPr>
        <w:t xml:space="preserve"> We agree with this recommendation.</w:t>
      </w:r>
    </w:p>
    <w:p w14:paraId="455112B1" w14:textId="77777777" w:rsidR="00650506" w:rsidRPr="00650506" w:rsidRDefault="00650506" w:rsidP="00650506">
      <w:pPr>
        <w:rPr>
          <w:rFonts w:ascii="Times New Roman" w:hAnsi="Times New Roman" w:cs="Times New Roman"/>
          <w:sz w:val="24"/>
          <w:szCs w:val="24"/>
        </w:rPr>
      </w:pPr>
    </w:p>
    <w:p w14:paraId="042FA8A9" w14:textId="0E3847BF" w:rsidR="00650506" w:rsidRPr="00650506" w:rsidRDefault="00650506" w:rsidP="00650506">
      <w:pPr>
        <w:numPr>
          <w:ilvl w:val="0"/>
          <w:numId w:val="4"/>
        </w:numPr>
        <w:rPr>
          <w:rFonts w:ascii="Times New Roman" w:hAnsi="Times New Roman" w:cs="Times New Roman"/>
          <w:b/>
          <w:bCs/>
          <w:sz w:val="24"/>
          <w:szCs w:val="24"/>
        </w:rPr>
      </w:pPr>
      <w:r w:rsidRPr="00650506">
        <w:rPr>
          <w:rFonts w:ascii="Times New Roman" w:hAnsi="Times New Roman" w:cs="Times New Roman"/>
          <w:b/>
          <w:bCs/>
          <w:sz w:val="24"/>
          <w:szCs w:val="24"/>
        </w:rPr>
        <w:t>Funding</w:t>
      </w:r>
    </w:p>
    <w:p w14:paraId="6E7D655C" w14:textId="20252E33"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 xml:space="preserve">Recommendation 1: </w:t>
      </w:r>
      <w:r w:rsidRPr="00650506">
        <w:rPr>
          <w:rFonts w:ascii="Times New Roman" w:hAnsi="Times New Roman" w:cs="Times New Roman"/>
          <w:sz w:val="24"/>
          <w:szCs w:val="24"/>
        </w:rPr>
        <w:t>The review team argued for an increase in program funding to offset the recent and drastic funding cuts to the program.  They also support the Graduate Coordinator receiving an additional course release per year.  Finally, they believe the department should establish a Development Committee to explore additional fundraising opportunities for student support and growing the public history program.</w:t>
      </w:r>
    </w:p>
    <w:p w14:paraId="5BA677B3" w14:textId="77777777"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Response:</w:t>
      </w:r>
      <w:r w:rsidRPr="00650506">
        <w:rPr>
          <w:rFonts w:ascii="Times New Roman" w:hAnsi="Times New Roman" w:cs="Times New Roman"/>
          <w:sz w:val="24"/>
          <w:szCs w:val="24"/>
        </w:rPr>
        <w:t xml:space="preserve"> We agree with these recommendations.  If not addressed, the cuts to funding will have a negative long-term impact on our ability to recruit and maintain a healthy cohort, and to offer our students with paid internships in fields related to our discipline. Additionally, it simply not feasible to expect a faculty member to run a program of this size on one course release per a year.  We also agree to explore the idea of a creating a Development Committee though we continue to believe that first and foremost, the college and university should support its programs.</w:t>
      </w:r>
    </w:p>
    <w:p w14:paraId="04B8D2C4" w14:textId="77777777" w:rsidR="00650506" w:rsidRPr="00650506" w:rsidRDefault="00650506" w:rsidP="00650506">
      <w:pPr>
        <w:rPr>
          <w:rFonts w:ascii="Times New Roman" w:hAnsi="Times New Roman" w:cs="Times New Roman"/>
          <w:sz w:val="24"/>
          <w:szCs w:val="24"/>
        </w:rPr>
      </w:pPr>
    </w:p>
    <w:p w14:paraId="1013FBEF" w14:textId="43BFF848" w:rsidR="00650506" w:rsidRPr="00650506" w:rsidRDefault="00650506" w:rsidP="00650506">
      <w:pPr>
        <w:numPr>
          <w:ilvl w:val="0"/>
          <w:numId w:val="4"/>
        </w:numPr>
        <w:rPr>
          <w:rFonts w:ascii="Times New Roman" w:hAnsi="Times New Roman" w:cs="Times New Roman"/>
          <w:b/>
          <w:bCs/>
          <w:sz w:val="24"/>
          <w:szCs w:val="24"/>
        </w:rPr>
      </w:pPr>
      <w:r w:rsidRPr="00650506">
        <w:rPr>
          <w:rFonts w:ascii="Times New Roman" w:hAnsi="Times New Roman" w:cs="Times New Roman"/>
          <w:b/>
          <w:bCs/>
          <w:sz w:val="24"/>
          <w:szCs w:val="24"/>
        </w:rPr>
        <w:t>Advising</w:t>
      </w:r>
    </w:p>
    <w:p w14:paraId="57ADBBD8" w14:textId="36A4B541"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 xml:space="preserve">Recommendation 1: </w:t>
      </w:r>
      <w:r w:rsidRPr="00650506">
        <w:rPr>
          <w:rFonts w:ascii="Times New Roman" w:hAnsi="Times New Roman" w:cs="Times New Roman"/>
          <w:sz w:val="24"/>
          <w:szCs w:val="24"/>
        </w:rPr>
        <w:t>While the department has improved its retention and graduate rates, the committees believes that students still need more advising.  As such, they recommend that every student be assigned an advisor when they begin the program.</w:t>
      </w:r>
    </w:p>
    <w:p w14:paraId="3F0C4488" w14:textId="77777777"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 xml:space="preserve">Response: </w:t>
      </w:r>
      <w:r w:rsidRPr="00650506">
        <w:rPr>
          <w:rFonts w:ascii="Times New Roman" w:hAnsi="Times New Roman" w:cs="Times New Roman"/>
          <w:sz w:val="24"/>
          <w:szCs w:val="24"/>
        </w:rPr>
        <w:t xml:space="preserve">The department understands that our students need help with making important decisions that impact their ability to complete the program in a timely manner.  Currently, the Graduate Coordinator provides incoming students with a degree roadmap and has an open-door policy for meeting with students.  We are also taking steps to have HIST 200A instructors assign students to possible thesis advisors so that they can begin as soon as possible to think about their research projects.  </w:t>
      </w:r>
    </w:p>
    <w:p w14:paraId="2D9B0E43" w14:textId="77777777" w:rsidR="00650506" w:rsidRPr="00650506" w:rsidRDefault="00650506" w:rsidP="00650506">
      <w:pPr>
        <w:rPr>
          <w:rFonts w:ascii="Times New Roman" w:hAnsi="Times New Roman" w:cs="Times New Roman"/>
          <w:sz w:val="24"/>
          <w:szCs w:val="24"/>
        </w:rPr>
      </w:pPr>
    </w:p>
    <w:p w14:paraId="0F79491B" w14:textId="74D8063E" w:rsidR="00650506" w:rsidRPr="00650506" w:rsidRDefault="00650506" w:rsidP="00650506">
      <w:pPr>
        <w:numPr>
          <w:ilvl w:val="0"/>
          <w:numId w:val="4"/>
        </w:numPr>
        <w:rPr>
          <w:rFonts w:ascii="Times New Roman" w:hAnsi="Times New Roman" w:cs="Times New Roman"/>
          <w:b/>
          <w:bCs/>
          <w:sz w:val="24"/>
          <w:szCs w:val="24"/>
        </w:rPr>
      </w:pPr>
      <w:r w:rsidRPr="00650506">
        <w:rPr>
          <w:rFonts w:ascii="Times New Roman" w:hAnsi="Times New Roman" w:cs="Times New Roman"/>
          <w:b/>
          <w:bCs/>
          <w:sz w:val="24"/>
          <w:szCs w:val="24"/>
        </w:rPr>
        <w:t>New Hires</w:t>
      </w:r>
    </w:p>
    <w:p w14:paraId="159ACB34" w14:textId="1E747F40"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Recommendation 1:</w:t>
      </w:r>
      <w:r w:rsidRPr="00650506">
        <w:rPr>
          <w:rFonts w:ascii="Times New Roman" w:hAnsi="Times New Roman" w:cs="Times New Roman"/>
          <w:sz w:val="24"/>
          <w:szCs w:val="24"/>
        </w:rPr>
        <w:t xml:space="preserve"> The review team recommends a replacement hire for the Asian history position recently vacated, and a joint hire with the Classics Department in Ancient History.</w:t>
      </w:r>
    </w:p>
    <w:p w14:paraId="6E7237E5" w14:textId="77777777" w:rsidR="00650506" w:rsidRPr="00650506" w:rsidRDefault="00650506" w:rsidP="00650506">
      <w:pPr>
        <w:rPr>
          <w:rFonts w:ascii="Times New Roman" w:hAnsi="Times New Roman" w:cs="Times New Roman"/>
          <w:sz w:val="24"/>
          <w:szCs w:val="24"/>
        </w:rPr>
      </w:pPr>
      <w:r w:rsidRPr="00650506">
        <w:rPr>
          <w:rFonts w:ascii="Times New Roman" w:hAnsi="Times New Roman" w:cs="Times New Roman"/>
          <w:b/>
          <w:bCs/>
          <w:sz w:val="24"/>
          <w:szCs w:val="24"/>
        </w:rPr>
        <w:t>Response:</w:t>
      </w:r>
      <w:r w:rsidRPr="00650506">
        <w:rPr>
          <w:rFonts w:ascii="Times New Roman" w:hAnsi="Times New Roman" w:cs="Times New Roman"/>
          <w:sz w:val="24"/>
          <w:szCs w:val="24"/>
        </w:rPr>
        <w:t xml:space="preserve"> See the B.A. report for response.</w:t>
      </w:r>
    </w:p>
    <w:p w14:paraId="74ECDE6C" w14:textId="77777777" w:rsidR="008651B8" w:rsidRDefault="008651B8" w:rsidP="00650506">
      <w:pPr>
        <w:rPr>
          <w:rFonts w:ascii="Times New Roman" w:hAnsi="Times New Roman" w:cs="Times New Roman"/>
          <w:sz w:val="24"/>
          <w:szCs w:val="24"/>
        </w:rPr>
        <w:sectPr w:rsidR="008651B8">
          <w:pgSz w:w="12240" w:h="15840"/>
          <w:pgMar w:top="1440" w:right="1440" w:bottom="1440" w:left="1440" w:header="720" w:footer="720" w:gutter="0"/>
          <w:cols w:space="720"/>
          <w:docGrid w:linePitch="360"/>
        </w:sect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8651B8" w14:paraId="67E70FDD" w14:textId="77777777" w:rsidTr="004E758A">
        <w:trPr>
          <w:trHeight w:val="311"/>
        </w:trPr>
        <w:tc>
          <w:tcPr>
            <w:tcW w:w="16704" w:type="dxa"/>
            <w:tcMar>
              <w:top w:w="0" w:type="dxa"/>
              <w:left w:w="0" w:type="dxa"/>
              <w:bottom w:w="0" w:type="dxa"/>
              <w:right w:w="0" w:type="dxa"/>
            </w:tcMar>
          </w:tcPr>
          <w:p w14:paraId="3E1DD523" w14:textId="77777777" w:rsidR="008651B8" w:rsidRDefault="008651B8" w:rsidP="008651B8">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Oral Communication </w:t>
            </w:r>
            <w:r>
              <w:rPr>
                <w:rFonts w:ascii="Garamond" w:hAnsi="Garamond"/>
                <w:b/>
                <w:smallCaps/>
                <w:color w:val="000000"/>
                <w:sz w:val="40"/>
                <w:szCs w:val="40"/>
              </w:rPr>
              <w:t>VALUE Rubric</w:t>
            </w:r>
          </w:p>
          <w:p w14:paraId="19867BF4" w14:textId="77777777" w:rsidR="008651B8" w:rsidRDefault="008651B8" w:rsidP="008651B8">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14:paraId="574E0A1E" w14:textId="77777777" w:rsidR="008651B8" w:rsidRDefault="008651B8" w:rsidP="008651B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sidRPr="0054072E">
              <w:rPr>
                <w:rFonts w:ascii="Garamond" w:hAnsi="Garamond"/>
                <w:noProof/>
                <w:sz w:val="22"/>
                <w:szCs w:val="22"/>
                <w:lang w:val="en-US"/>
              </w:rPr>
              <w:drawing>
                <wp:inline distT="0" distB="0" distL="0" distR="0" wp14:anchorId="41807203" wp14:editId="77A2C3E3">
                  <wp:extent cx="1144905" cy="604520"/>
                  <wp:effectExtent l="0" t="0" r="0" b="0"/>
                  <wp:docPr id="2" name="graphic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s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14:paraId="265891DD" w14:textId="77777777" w:rsidR="008651B8" w:rsidRDefault="008651B8" w:rsidP="008651B8">
      <w:pPr>
        <w:pStyle w:val="Standard"/>
        <w:jc w:val="center"/>
        <w:rPr>
          <w:rFonts w:ascii="Garamond" w:hAnsi="Garamond"/>
          <w:i/>
          <w:iCs/>
          <w:sz w:val="22"/>
          <w:szCs w:val="22"/>
        </w:rPr>
      </w:pPr>
    </w:p>
    <w:p w14:paraId="2EE09970" w14:textId="77777777" w:rsidR="008651B8" w:rsidRDefault="008651B8" w:rsidP="008651B8">
      <w:pPr>
        <w:pStyle w:val="Standard"/>
        <w:jc w:val="center"/>
        <w:rPr>
          <w:rFonts w:ascii="Garamond" w:hAnsi="Garamond"/>
          <w:b/>
          <w:bCs/>
          <w:sz w:val="22"/>
          <w:szCs w:val="22"/>
        </w:rPr>
      </w:pPr>
      <w:r>
        <w:rPr>
          <w:rFonts w:ascii="Garamond" w:hAnsi="Garamond"/>
          <w:b/>
          <w:bCs/>
          <w:sz w:val="22"/>
          <w:szCs w:val="22"/>
        </w:rPr>
        <w:t>Definition</w:t>
      </w:r>
    </w:p>
    <w:p w14:paraId="796B2278" w14:textId="77777777" w:rsidR="008651B8" w:rsidRDefault="008651B8" w:rsidP="008651B8">
      <w:pPr>
        <w:pStyle w:val="Standard"/>
        <w:rPr>
          <w:rFonts w:ascii="Garamond" w:hAnsi="Garamond"/>
          <w:sz w:val="22"/>
          <w:szCs w:val="22"/>
        </w:rPr>
      </w:pPr>
      <w:r>
        <w:rPr>
          <w:rFonts w:ascii="Garamond" w:hAnsi="Garamond"/>
          <w:sz w:val="22"/>
          <w:szCs w:val="22"/>
        </w:rPr>
        <w:tab/>
        <w:t>Oral communication is a prepared, purposeful presentation designed to increase knowledge, to foster understanding, or to promote change in the listeners' attitudes, values, beliefs, or behaviors.</w:t>
      </w:r>
    </w:p>
    <w:p w14:paraId="1E164C0F" w14:textId="77777777" w:rsidR="008651B8" w:rsidRDefault="008651B8" w:rsidP="008651B8">
      <w:pPr>
        <w:pStyle w:val="Standard"/>
        <w:rPr>
          <w:rFonts w:ascii="Garamond" w:hAnsi="Garamond"/>
          <w:sz w:val="22"/>
          <w:szCs w:val="22"/>
        </w:rPr>
      </w:pPr>
    </w:p>
    <w:p w14:paraId="587095AB" w14:textId="77777777" w:rsidR="008651B8" w:rsidRDefault="008651B8" w:rsidP="008651B8">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14:paraId="722AA021" w14:textId="77777777" w:rsidR="008651B8" w:rsidRDefault="008651B8" w:rsidP="008651B8">
      <w:pPr>
        <w:pStyle w:val="Standard"/>
        <w:jc w:val="center"/>
        <w:rPr>
          <w:rFonts w:ascii="Garamond" w:hAnsi="Garamond"/>
          <w:sz w:val="22"/>
          <w:szCs w:val="22"/>
        </w:rPr>
      </w:pPr>
    </w:p>
    <w:tbl>
      <w:tblPr>
        <w:tblW w:w="14839" w:type="dxa"/>
        <w:tblInd w:w="45" w:type="dxa"/>
        <w:tblLayout w:type="fixed"/>
        <w:tblCellMar>
          <w:left w:w="10" w:type="dxa"/>
          <w:right w:w="10" w:type="dxa"/>
        </w:tblCellMar>
        <w:tblLook w:val="0000" w:firstRow="0" w:lastRow="0" w:firstColumn="0" w:lastColumn="0" w:noHBand="0" w:noVBand="0"/>
      </w:tblPr>
      <w:tblGrid>
        <w:gridCol w:w="2966"/>
        <w:gridCol w:w="2968"/>
        <w:gridCol w:w="2967"/>
        <w:gridCol w:w="2969"/>
        <w:gridCol w:w="2969"/>
      </w:tblGrid>
      <w:tr w:rsidR="008651B8" w:rsidRPr="004F1F96" w14:paraId="6686C98A" w14:textId="77777777" w:rsidTr="004E758A">
        <w:trPr>
          <w:trHeight w:val="642"/>
        </w:trPr>
        <w:tc>
          <w:tcPr>
            <w:tcW w:w="2966" w:type="dxa"/>
            <w:tcBorders>
              <w:top w:val="single" w:sz="2" w:space="0" w:color="000000"/>
              <w:left w:val="single" w:sz="2" w:space="0" w:color="000000"/>
              <w:bottom w:val="single" w:sz="2" w:space="0" w:color="000000"/>
            </w:tcBorders>
            <w:tcMar>
              <w:top w:w="55" w:type="dxa"/>
              <w:left w:w="55" w:type="dxa"/>
              <w:bottom w:w="55" w:type="dxa"/>
              <w:right w:w="55" w:type="dxa"/>
            </w:tcMar>
          </w:tcPr>
          <w:p w14:paraId="684DF81D" w14:textId="77777777" w:rsidR="008651B8" w:rsidRPr="004F1F96" w:rsidRDefault="008651B8" w:rsidP="008651B8">
            <w:pPr>
              <w:pStyle w:val="Standard"/>
              <w:jc w:val="center"/>
              <w:rPr>
                <w:rFonts w:ascii="Garamond" w:hAnsi="Garamond"/>
                <w:b/>
                <w:bCs/>
                <w:sz w:val="16"/>
                <w:szCs w:val="16"/>
              </w:rPr>
            </w:pPr>
          </w:p>
        </w:tc>
        <w:tc>
          <w:tcPr>
            <w:tcW w:w="2968" w:type="dxa"/>
            <w:tcBorders>
              <w:top w:val="single" w:sz="2" w:space="0" w:color="000000"/>
              <w:left w:val="single" w:sz="2" w:space="0" w:color="000000"/>
              <w:bottom w:val="single" w:sz="2" w:space="0" w:color="000000"/>
            </w:tcBorders>
            <w:tcMar>
              <w:top w:w="55" w:type="dxa"/>
              <w:left w:w="55" w:type="dxa"/>
              <w:bottom w:w="55" w:type="dxa"/>
              <w:right w:w="55" w:type="dxa"/>
            </w:tcMar>
          </w:tcPr>
          <w:p w14:paraId="1234608E" w14:textId="77777777" w:rsidR="008651B8" w:rsidRPr="004F1F96" w:rsidRDefault="008651B8" w:rsidP="008651B8">
            <w:pPr>
              <w:pStyle w:val="Standard"/>
              <w:jc w:val="center"/>
              <w:rPr>
                <w:rFonts w:ascii="Garamond" w:hAnsi="Garamond"/>
                <w:b/>
                <w:bCs/>
                <w:sz w:val="16"/>
                <w:szCs w:val="16"/>
              </w:rPr>
            </w:pPr>
            <w:r w:rsidRPr="004F1F96">
              <w:rPr>
                <w:rFonts w:ascii="Garamond" w:hAnsi="Garamond"/>
                <w:b/>
                <w:bCs/>
                <w:sz w:val="16"/>
                <w:szCs w:val="16"/>
              </w:rPr>
              <w:t>Capstone</w:t>
            </w:r>
          </w:p>
          <w:p w14:paraId="7E68F043" w14:textId="77777777" w:rsidR="008651B8" w:rsidRPr="004F1F96" w:rsidRDefault="008651B8" w:rsidP="008651B8">
            <w:pPr>
              <w:pStyle w:val="Standard"/>
              <w:jc w:val="center"/>
              <w:rPr>
                <w:rFonts w:ascii="Garamond" w:hAnsi="Garamond"/>
                <w:sz w:val="16"/>
                <w:szCs w:val="16"/>
              </w:rPr>
            </w:pPr>
            <w:r w:rsidRPr="004F1F96">
              <w:rPr>
                <w:rFonts w:ascii="Garamond" w:hAnsi="Garamond"/>
                <w:sz w:val="16"/>
                <w:szCs w:val="16"/>
              </w:rPr>
              <w:t>4</w:t>
            </w:r>
          </w:p>
        </w:tc>
        <w:tc>
          <w:tcPr>
            <w:tcW w:w="593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1AD641E3" w14:textId="77777777" w:rsidR="008651B8" w:rsidRPr="004F1F96" w:rsidRDefault="008651B8" w:rsidP="008651B8">
            <w:pPr>
              <w:pStyle w:val="Standard"/>
              <w:jc w:val="center"/>
              <w:rPr>
                <w:rFonts w:ascii="Garamond" w:hAnsi="Garamond"/>
                <w:b/>
                <w:bCs/>
                <w:sz w:val="16"/>
                <w:szCs w:val="16"/>
              </w:rPr>
            </w:pPr>
            <w:r w:rsidRPr="004F1F96">
              <w:rPr>
                <w:rFonts w:ascii="Garamond" w:hAnsi="Garamond"/>
                <w:b/>
                <w:bCs/>
                <w:sz w:val="16"/>
                <w:szCs w:val="16"/>
              </w:rPr>
              <w:t>Milestones</w:t>
            </w:r>
          </w:p>
          <w:p w14:paraId="28AA6B92" w14:textId="77777777" w:rsidR="008651B8" w:rsidRPr="004F1F96" w:rsidRDefault="008651B8" w:rsidP="008651B8">
            <w:pPr>
              <w:pStyle w:val="Standard"/>
              <w:jc w:val="center"/>
              <w:rPr>
                <w:rFonts w:ascii="Garamond" w:hAnsi="Garamond"/>
                <w:sz w:val="16"/>
                <w:szCs w:val="16"/>
              </w:rPr>
            </w:pPr>
            <w:r w:rsidRPr="004F1F96">
              <w:rPr>
                <w:rFonts w:ascii="Garamond" w:hAnsi="Garamond"/>
                <w:sz w:val="16"/>
                <w:szCs w:val="16"/>
              </w:rPr>
              <w:t>3</w:t>
            </w:r>
            <w:r w:rsidRPr="004F1F96">
              <w:rPr>
                <w:rFonts w:ascii="Garamond" w:hAnsi="Garamond"/>
                <w:sz w:val="16"/>
                <w:szCs w:val="16"/>
              </w:rPr>
              <w:tab/>
            </w:r>
            <w:r w:rsidRPr="004F1F96">
              <w:rPr>
                <w:rFonts w:ascii="Garamond" w:hAnsi="Garamond"/>
                <w:sz w:val="16"/>
                <w:szCs w:val="16"/>
              </w:rPr>
              <w:tab/>
            </w:r>
            <w:r w:rsidRPr="004F1F96">
              <w:rPr>
                <w:rFonts w:ascii="Garamond" w:hAnsi="Garamond"/>
                <w:sz w:val="16"/>
                <w:szCs w:val="16"/>
              </w:rPr>
              <w:tab/>
            </w:r>
            <w:r w:rsidRPr="004F1F96">
              <w:rPr>
                <w:rFonts w:ascii="Garamond" w:hAnsi="Garamond"/>
                <w:sz w:val="16"/>
                <w:szCs w:val="16"/>
              </w:rPr>
              <w:tab/>
            </w:r>
            <w:r w:rsidRPr="004F1F96">
              <w:rPr>
                <w:rFonts w:ascii="Garamond" w:hAnsi="Garamond"/>
                <w:sz w:val="16"/>
                <w:szCs w:val="16"/>
              </w:rPr>
              <w:tab/>
              <w:t>2</w:t>
            </w:r>
          </w:p>
        </w:tc>
        <w:tc>
          <w:tcPr>
            <w:tcW w:w="2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ED8C2B" w14:textId="77777777" w:rsidR="008651B8" w:rsidRPr="004F1F96" w:rsidRDefault="008651B8" w:rsidP="008651B8">
            <w:pPr>
              <w:pStyle w:val="Standard"/>
              <w:jc w:val="center"/>
              <w:rPr>
                <w:rFonts w:ascii="Garamond" w:hAnsi="Garamond"/>
                <w:b/>
                <w:bCs/>
                <w:sz w:val="16"/>
                <w:szCs w:val="16"/>
              </w:rPr>
            </w:pPr>
            <w:r w:rsidRPr="004F1F96">
              <w:rPr>
                <w:rFonts w:ascii="Garamond" w:hAnsi="Garamond"/>
                <w:b/>
                <w:bCs/>
                <w:sz w:val="16"/>
                <w:szCs w:val="16"/>
              </w:rPr>
              <w:t>Benchmark</w:t>
            </w:r>
          </w:p>
          <w:p w14:paraId="30271614" w14:textId="77777777" w:rsidR="008651B8" w:rsidRPr="004F1F96" w:rsidRDefault="008651B8" w:rsidP="008651B8">
            <w:pPr>
              <w:pStyle w:val="Standard"/>
              <w:jc w:val="center"/>
              <w:rPr>
                <w:rFonts w:ascii="Garamond" w:hAnsi="Garamond"/>
                <w:sz w:val="16"/>
                <w:szCs w:val="16"/>
              </w:rPr>
            </w:pPr>
            <w:r w:rsidRPr="004F1F96">
              <w:rPr>
                <w:rFonts w:ascii="Garamond" w:hAnsi="Garamond"/>
                <w:sz w:val="16"/>
                <w:szCs w:val="16"/>
              </w:rPr>
              <w:t>1</w:t>
            </w:r>
          </w:p>
        </w:tc>
      </w:tr>
      <w:tr w:rsidR="008651B8" w:rsidRPr="004F1F96" w14:paraId="6B6587D0" w14:textId="77777777" w:rsidTr="004E758A">
        <w:trPr>
          <w:trHeight w:val="1617"/>
        </w:trPr>
        <w:tc>
          <w:tcPr>
            <w:tcW w:w="2966" w:type="dxa"/>
            <w:tcBorders>
              <w:left w:val="single" w:sz="2" w:space="0" w:color="000000"/>
              <w:bottom w:val="single" w:sz="2" w:space="0" w:color="000000"/>
            </w:tcBorders>
            <w:tcMar>
              <w:top w:w="55" w:type="dxa"/>
              <w:left w:w="55" w:type="dxa"/>
              <w:bottom w:w="55" w:type="dxa"/>
              <w:right w:w="55" w:type="dxa"/>
            </w:tcMar>
          </w:tcPr>
          <w:p w14:paraId="5BEEAFE3" w14:textId="77777777" w:rsidR="008651B8" w:rsidRPr="004F1F96" w:rsidRDefault="008651B8" w:rsidP="008651B8">
            <w:pPr>
              <w:pStyle w:val="Standard"/>
              <w:rPr>
                <w:rFonts w:ascii="Garamond" w:hAnsi="Garamond"/>
                <w:b/>
                <w:bCs/>
                <w:sz w:val="16"/>
                <w:szCs w:val="16"/>
              </w:rPr>
            </w:pPr>
            <w:r w:rsidRPr="004F1F96">
              <w:rPr>
                <w:rFonts w:ascii="Garamond" w:hAnsi="Garamond"/>
                <w:b/>
                <w:bCs/>
                <w:sz w:val="16"/>
                <w:szCs w:val="16"/>
              </w:rPr>
              <w:t>Organization</w:t>
            </w:r>
          </w:p>
        </w:tc>
        <w:tc>
          <w:tcPr>
            <w:tcW w:w="2968" w:type="dxa"/>
            <w:tcBorders>
              <w:left w:val="single" w:sz="2" w:space="0" w:color="000000"/>
              <w:bottom w:val="single" w:sz="2" w:space="0" w:color="000000"/>
            </w:tcBorders>
            <w:tcMar>
              <w:top w:w="55" w:type="dxa"/>
              <w:left w:w="55" w:type="dxa"/>
              <w:bottom w:w="55" w:type="dxa"/>
              <w:right w:w="55" w:type="dxa"/>
            </w:tcMar>
          </w:tcPr>
          <w:p w14:paraId="6EDE81DC"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Organizational pattern (specific introduction and conclusion, sequenced material within the body, and transitions) is clearly and consistently observable and is skillful and makes the content of the presentation cohesive.</w:t>
            </w:r>
          </w:p>
        </w:tc>
        <w:tc>
          <w:tcPr>
            <w:tcW w:w="2967" w:type="dxa"/>
            <w:tcBorders>
              <w:left w:val="single" w:sz="2" w:space="0" w:color="000000"/>
              <w:bottom w:val="single" w:sz="2" w:space="0" w:color="000000"/>
            </w:tcBorders>
            <w:tcMar>
              <w:top w:w="55" w:type="dxa"/>
              <w:left w:w="55" w:type="dxa"/>
              <w:bottom w:w="55" w:type="dxa"/>
              <w:right w:w="55" w:type="dxa"/>
            </w:tcMar>
          </w:tcPr>
          <w:p w14:paraId="6928D26D"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Organizational pattern (specific introductio</w:t>
            </w:r>
            <w:r w:rsidRPr="004F1F96">
              <w:rPr>
                <w:rFonts w:ascii="Garamond" w:hAnsi="Garamond"/>
                <w:sz w:val="16"/>
                <w:szCs w:val="16"/>
                <w:lang w:val="en-US"/>
              </w:rPr>
              <w:t xml:space="preserve">n </w:t>
            </w:r>
            <w:r w:rsidRPr="004F1F96">
              <w:rPr>
                <w:rFonts w:ascii="Garamond" w:hAnsi="Garamond"/>
                <w:sz w:val="16"/>
                <w:szCs w:val="16"/>
              </w:rPr>
              <w:t>and conclusion, sequenced material within the body, and transitions) is clearly and consistently observable within the presentation.</w:t>
            </w:r>
          </w:p>
        </w:tc>
        <w:tc>
          <w:tcPr>
            <w:tcW w:w="2968" w:type="dxa"/>
            <w:tcBorders>
              <w:left w:val="single" w:sz="2" w:space="0" w:color="000000"/>
              <w:bottom w:val="single" w:sz="2" w:space="0" w:color="000000"/>
            </w:tcBorders>
            <w:tcMar>
              <w:top w:w="55" w:type="dxa"/>
              <w:left w:w="55" w:type="dxa"/>
              <w:bottom w:w="55" w:type="dxa"/>
              <w:right w:w="55" w:type="dxa"/>
            </w:tcMar>
          </w:tcPr>
          <w:p w14:paraId="5E1D8307"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Organizational pattern (specific introduction and conclusion, sequenced material within the body, and transitions) is intermittently observable within the presentation.</w:t>
            </w:r>
          </w:p>
        </w:tc>
        <w:tc>
          <w:tcPr>
            <w:tcW w:w="29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387ECF"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Organizational pattern (specific introduction and conclusion, sequenced material within the body, and transitions) is not observable within the presentation.</w:t>
            </w:r>
          </w:p>
        </w:tc>
      </w:tr>
      <w:tr w:rsidR="008651B8" w:rsidRPr="004F1F96" w14:paraId="736D89FB" w14:textId="77777777" w:rsidTr="004E758A">
        <w:trPr>
          <w:trHeight w:val="1285"/>
        </w:trPr>
        <w:tc>
          <w:tcPr>
            <w:tcW w:w="2966" w:type="dxa"/>
            <w:tcBorders>
              <w:left w:val="single" w:sz="2" w:space="0" w:color="000000"/>
              <w:bottom w:val="single" w:sz="2" w:space="0" w:color="000000"/>
            </w:tcBorders>
            <w:tcMar>
              <w:top w:w="55" w:type="dxa"/>
              <w:left w:w="55" w:type="dxa"/>
              <w:bottom w:w="55" w:type="dxa"/>
              <w:right w:w="55" w:type="dxa"/>
            </w:tcMar>
          </w:tcPr>
          <w:p w14:paraId="311834BE" w14:textId="77777777" w:rsidR="008651B8" w:rsidRPr="004F1F96" w:rsidRDefault="008651B8" w:rsidP="008651B8">
            <w:pPr>
              <w:pStyle w:val="Standard"/>
              <w:rPr>
                <w:rFonts w:ascii="Garamond" w:hAnsi="Garamond"/>
                <w:b/>
                <w:bCs/>
                <w:sz w:val="16"/>
                <w:szCs w:val="16"/>
              </w:rPr>
            </w:pPr>
            <w:r w:rsidRPr="004F1F96">
              <w:rPr>
                <w:rFonts w:ascii="Garamond" w:hAnsi="Garamond"/>
                <w:b/>
                <w:bCs/>
                <w:sz w:val="16"/>
                <w:szCs w:val="16"/>
              </w:rPr>
              <w:t>Language</w:t>
            </w:r>
          </w:p>
        </w:tc>
        <w:tc>
          <w:tcPr>
            <w:tcW w:w="2968" w:type="dxa"/>
            <w:tcBorders>
              <w:left w:val="single" w:sz="2" w:space="0" w:color="000000"/>
              <w:bottom w:val="single" w:sz="2" w:space="0" w:color="000000"/>
            </w:tcBorders>
            <w:tcMar>
              <w:top w:w="55" w:type="dxa"/>
              <w:left w:w="55" w:type="dxa"/>
              <w:bottom w:w="55" w:type="dxa"/>
              <w:right w:w="55" w:type="dxa"/>
            </w:tcMar>
          </w:tcPr>
          <w:p w14:paraId="08AC325F"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Language choices are imaginative, memorable</w:t>
            </w:r>
            <w:r w:rsidRPr="004F1F96">
              <w:rPr>
                <w:rFonts w:ascii="Garamond" w:hAnsi="Garamond"/>
                <w:sz w:val="16"/>
                <w:szCs w:val="16"/>
                <w:lang w:val="en-US"/>
              </w:rPr>
              <w:t>,</w:t>
            </w:r>
            <w:r w:rsidRPr="004F1F96">
              <w:rPr>
                <w:rFonts w:ascii="Garamond" w:hAnsi="Garamond"/>
                <w:sz w:val="16"/>
                <w:szCs w:val="16"/>
              </w:rPr>
              <w:t xml:space="preserve"> and compelling</w:t>
            </w:r>
            <w:r w:rsidRPr="004F1F96">
              <w:rPr>
                <w:rFonts w:ascii="Garamond" w:hAnsi="Garamond"/>
                <w:sz w:val="16"/>
                <w:szCs w:val="16"/>
                <w:lang w:val="en-US"/>
              </w:rPr>
              <w:t>,</w:t>
            </w:r>
            <w:r w:rsidRPr="004F1F96">
              <w:rPr>
                <w:rFonts w:ascii="Garamond" w:hAnsi="Garamond"/>
                <w:sz w:val="16"/>
                <w:szCs w:val="16"/>
              </w:rPr>
              <w:t xml:space="preserve"> and enhance the effectiveness of the presentation. Language in presentation is appropriate to audience.</w:t>
            </w:r>
          </w:p>
        </w:tc>
        <w:tc>
          <w:tcPr>
            <w:tcW w:w="2967" w:type="dxa"/>
            <w:tcBorders>
              <w:left w:val="single" w:sz="2" w:space="0" w:color="000000"/>
              <w:bottom w:val="single" w:sz="2" w:space="0" w:color="000000"/>
            </w:tcBorders>
            <w:tcMar>
              <w:top w:w="55" w:type="dxa"/>
              <w:left w:w="55" w:type="dxa"/>
              <w:bottom w:w="55" w:type="dxa"/>
              <w:right w:w="55" w:type="dxa"/>
            </w:tcMar>
          </w:tcPr>
          <w:p w14:paraId="511515B7"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Language choices are thoughtful and generally support the effectiveness of the presentation. Language in presentation is appropriate to audience.</w:t>
            </w:r>
          </w:p>
        </w:tc>
        <w:tc>
          <w:tcPr>
            <w:tcW w:w="2968" w:type="dxa"/>
            <w:tcBorders>
              <w:left w:val="single" w:sz="2" w:space="0" w:color="000000"/>
              <w:bottom w:val="single" w:sz="2" w:space="0" w:color="000000"/>
            </w:tcBorders>
            <w:tcMar>
              <w:top w:w="55" w:type="dxa"/>
              <w:left w:w="55" w:type="dxa"/>
              <w:bottom w:w="55" w:type="dxa"/>
              <w:right w:w="55" w:type="dxa"/>
            </w:tcMar>
          </w:tcPr>
          <w:p w14:paraId="30EEF7F4"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Language choices are mundane and commonplace and partially support the effectiveness of the presentation. Language in presentation is appropriate to audience.</w:t>
            </w:r>
          </w:p>
        </w:tc>
        <w:tc>
          <w:tcPr>
            <w:tcW w:w="29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AB29C0"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Language choices are unclear and minimally support the effectiveness of the presentation. Language in presentation is not appropriate to audience.</w:t>
            </w:r>
          </w:p>
        </w:tc>
      </w:tr>
      <w:tr w:rsidR="008651B8" w:rsidRPr="004F1F96" w14:paraId="4ECD44B8" w14:textId="77777777" w:rsidTr="004E758A">
        <w:trPr>
          <w:trHeight w:val="975"/>
        </w:trPr>
        <w:tc>
          <w:tcPr>
            <w:tcW w:w="2966" w:type="dxa"/>
            <w:tcBorders>
              <w:left w:val="single" w:sz="2" w:space="0" w:color="000000"/>
              <w:bottom w:val="single" w:sz="2" w:space="0" w:color="000000"/>
            </w:tcBorders>
            <w:tcMar>
              <w:top w:w="55" w:type="dxa"/>
              <w:left w:w="55" w:type="dxa"/>
              <w:bottom w:w="55" w:type="dxa"/>
              <w:right w:w="55" w:type="dxa"/>
            </w:tcMar>
          </w:tcPr>
          <w:p w14:paraId="4C535D37" w14:textId="77777777" w:rsidR="008651B8" w:rsidRPr="004F1F96" w:rsidRDefault="008651B8" w:rsidP="008651B8">
            <w:pPr>
              <w:pStyle w:val="Standard"/>
              <w:rPr>
                <w:rFonts w:ascii="Garamond" w:hAnsi="Garamond"/>
                <w:b/>
                <w:bCs/>
                <w:sz w:val="16"/>
                <w:szCs w:val="16"/>
              </w:rPr>
            </w:pPr>
            <w:r w:rsidRPr="004F1F96">
              <w:rPr>
                <w:rFonts w:ascii="Garamond" w:hAnsi="Garamond"/>
                <w:b/>
                <w:bCs/>
                <w:sz w:val="16"/>
                <w:szCs w:val="16"/>
              </w:rPr>
              <w:t>Delivery</w:t>
            </w:r>
          </w:p>
        </w:tc>
        <w:tc>
          <w:tcPr>
            <w:tcW w:w="2968" w:type="dxa"/>
            <w:tcBorders>
              <w:left w:val="single" w:sz="2" w:space="0" w:color="000000"/>
              <w:bottom w:val="single" w:sz="2" w:space="0" w:color="000000"/>
            </w:tcBorders>
            <w:tcMar>
              <w:top w:w="55" w:type="dxa"/>
              <w:left w:w="55" w:type="dxa"/>
              <w:bottom w:w="55" w:type="dxa"/>
              <w:right w:w="55" w:type="dxa"/>
            </w:tcMar>
          </w:tcPr>
          <w:p w14:paraId="352BEAB6"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Delivery techniques (posture, gesture, eye contact, and vocal expressiveness) make the presentation compelling, and speaker appears polished and confident.</w:t>
            </w:r>
          </w:p>
        </w:tc>
        <w:tc>
          <w:tcPr>
            <w:tcW w:w="2967" w:type="dxa"/>
            <w:tcBorders>
              <w:left w:val="single" w:sz="2" w:space="0" w:color="000000"/>
              <w:bottom w:val="single" w:sz="2" w:space="0" w:color="000000"/>
            </w:tcBorders>
            <w:tcMar>
              <w:top w:w="55" w:type="dxa"/>
              <w:left w:w="55" w:type="dxa"/>
              <w:bottom w:w="55" w:type="dxa"/>
              <w:right w:w="55" w:type="dxa"/>
            </w:tcMar>
          </w:tcPr>
          <w:p w14:paraId="70D818E3"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Delivery techniques (posture, gesture, eye contact, and vocal expressiveness) make the presentation interesting, and speaker appears comfortable.</w:t>
            </w:r>
          </w:p>
        </w:tc>
        <w:tc>
          <w:tcPr>
            <w:tcW w:w="2968" w:type="dxa"/>
            <w:tcBorders>
              <w:left w:val="single" w:sz="2" w:space="0" w:color="000000"/>
              <w:bottom w:val="single" w:sz="2" w:space="0" w:color="000000"/>
            </w:tcBorders>
            <w:tcMar>
              <w:top w:w="55" w:type="dxa"/>
              <w:left w:w="55" w:type="dxa"/>
              <w:bottom w:w="55" w:type="dxa"/>
              <w:right w:w="55" w:type="dxa"/>
            </w:tcMar>
          </w:tcPr>
          <w:p w14:paraId="2D3FB553"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Delivery techniques (posture, gesture, eye contact, and vocal expressiveness) make the presentation understandable, and speaker appears tentative.</w:t>
            </w:r>
          </w:p>
        </w:tc>
        <w:tc>
          <w:tcPr>
            <w:tcW w:w="29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1C0A8C"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Delivery techniques (posture, gesture, eye contact, and vocal expressiveness) detract from the understandability of the presentation, and speaker appears uncomfortable.</w:t>
            </w:r>
          </w:p>
        </w:tc>
      </w:tr>
      <w:tr w:rsidR="008651B8" w:rsidRPr="004F1F96" w14:paraId="66E4EF8C" w14:textId="77777777" w:rsidTr="004E758A">
        <w:trPr>
          <w:trHeight w:val="1927"/>
        </w:trPr>
        <w:tc>
          <w:tcPr>
            <w:tcW w:w="2966" w:type="dxa"/>
            <w:tcBorders>
              <w:left w:val="single" w:sz="2" w:space="0" w:color="000000"/>
              <w:bottom w:val="single" w:sz="2" w:space="0" w:color="000000"/>
            </w:tcBorders>
            <w:tcMar>
              <w:top w:w="55" w:type="dxa"/>
              <w:left w:w="55" w:type="dxa"/>
              <w:bottom w:w="55" w:type="dxa"/>
              <w:right w:w="55" w:type="dxa"/>
            </w:tcMar>
          </w:tcPr>
          <w:p w14:paraId="33D238F6" w14:textId="77777777" w:rsidR="008651B8" w:rsidRPr="004F1F96" w:rsidRDefault="008651B8" w:rsidP="008651B8">
            <w:pPr>
              <w:pStyle w:val="Standard"/>
              <w:rPr>
                <w:rFonts w:ascii="Garamond" w:hAnsi="Garamond"/>
                <w:b/>
                <w:bCs/>
                <w:sz w:val="16"/>
                <w:szCs w:val="16"/>
              </w:rPr>
            </w:pPr>
            <w:r w:rsidRPr="004F1F96">
              <w:rPr>
                <w:rFonts w:ascii="Garamond" w:hAnsi="Garamond"/>
                <w:b/>
                <w:bCs/>
                <w:sz w:val="16"/>
                <w:szCs w:val="16"/>
              </w:rPr>
              <w:t>Supporting Material</w:t>
            </w:r>
          </w:p>
        </w:tc>
        <w:tc>
          <w:tcPr>
            <w:tcW w:w="2968" w:type="dxa"/>
            <w:tcBorders>
              <w:left w:val="single" w:sz="2" w:space="0" w:color="000000"/>
              <w:bottom w:val="single" w:sz="2" w:space="0" w:color="000000"/>
            </w:tcBorders>
            <w:tcMar>
              <w:top w:w="55" w:type="dxa"/>
              <w:left w:w="55" w:type="dxa"/>
              <w:bottom w:w="55" w:type="dxa"/>
              <w:right w:w="55" w:type="dxa"/>
            </w:tcMar>
          </w:tcPr>
          <w:p w14:paraId="22E00FBC"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 xml:space="preserve">A variety of types of supporting materials (explanations, examples, illustrations, statistics, analogies, quotations from relevant authorities) make appropriate reference to information or analysis </w:t>
            </w:r>
            <w:r w:rsidRPr="004F1F96">
              <w:rPr>
                <w:rFonts w:ascii="Garamond" w:hAnsi="Garamond"/>
                <w:sz w:val="16"/>
                <w:szCs w:val="16"/>
                <w:lang w:val="en-US"/>
              </w:rPr>
              <w:t>that</w:t>
            </w:r>
            <w:r w:rsidRPr="004F1F96">
              <w:rPr>
                <w:rFonts w:ascii="Garamond" w:hAnsi="Garamond"/>
                <w:sz w:val="16"/>
                <w:szCs w:val="16"/>
              </w:rPr>
              <w:t xml:space="preserve"> significantly supports the presentation or establishes the presenter's credibility/authority on the topic.</w:t>
            </w:r>
          </w:p>
        </w:tc>
        <w:tc>
          <w:tcPr>
            <w:tcW w:w="2967" w:type="dxa"/>
            <w:tcBorders>
              <w:left w:val="single" w:sz="2" w:space="0" w:color="000000"/>
              <w:bottom w:val="single" w:sz="2" w:space="0" w:color="000000"/>
            </w:tcBorders>
            <w:tcMar>
              <w:top w:w="55" w:type="dxa"/>
              <w:left w:w="55" w:type="dxa"/>
              <w:bottom w:w="55" w:type="dxa"/>
              <w:right w:w="55" w:type="dxa"/>
            </w:tcMar>
          </w:tcPr>
          <w:p w14:paraId="08C85506"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 xml:space="preserve">Supporting materials (explanations, examples, illustrations, statistics, analogies, quotations from relevant authorities) make appropriate reference to information or analysis </w:t>
            </w:r>
            <w:r w:rsidRPr="004F1F96">
              <w:rPr>
                <w:rFonts w:ascii="Garamond" w:hAnsi="Garamond"/>
                <w:sz w:val="16"/>
                <w:szCs w:val="16"/>
                <w:lang w:val="en-US"/>
              </w:rPr>
              <w:t>that</w:t>
            </w:r>
            <w:r w:rsidRPr="004F1F96">
              <w:rPr>
                <w:rFonts w:ascii="Garamond" w:hAnsi="Garamond"/>
                <w:sz w:val="16"/>
                <w:szCs w:val="16"/>
              </w:rPr>
              <w:t xml:space="preserve"> generally supports the presentation or establishes the presenter's credibility/authority on the topic.</w:t>
            </w:r>
          </w:p>
        </w:tc>
        <w:tc>
          <w:tcPr>
            <w:tcW w:w="2968" w:type="dxa"/>
            <w:tcBorders>
              <w:left w:val="single" w:sz="2" w:space="0" w:color="000000"/>
              <w:bottom w:val="single" w:sz="2" w:space="0" w:color="000000"/>
            </w:tcBorders>
            <w:tcMar>
              <w:top w:w="55" w:type="dxa"/>
              <w:left w:w="55" w:type="dxa"/>
              <w:bottom w:w="55" w:type="dxa"/>
              <w:right w:w="55" w:type="dxa"/>
            </w:tcMar>
          </w:tcPr>
          <w:p w14:paraId="087283BA"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 xml:space="preserve">Supporting materials (explanations, examples, illustrations, statistics, analogies, quotations from relevant authorities) make appropriate reference to information or analysis </w:t>
            </w:r>
            <w:r w:rsidRPr="004F1F96">
              <w:rPr>
                <w:rFonts w:ascii="Garamond" w:hAnsi="Garamond"/>
                <w:sz w:val="16"/>
                <w:szCs w:val="16"/>
                <w:lang w:val="en-US"/>
              </w:rPr>
              <w:t>that</w:t>
            </w:r>
            <w:r w:rsidRPr="004F1F96">
              <w:rPr>
                <w:rFonts w:ascii="Garamond" w:hAnsi="Garamond"/>
                <w:sz w:val="16"/>
                <w:szCs w:val="16"/>
              </w:rPr>
              <w:t xml:space="preserve"> partially supports the presentation or establishes the presenter's credibility/authority on the topic.</w:t>
            </w:r>
          </w:p>
        </w:tc>
        <w:tc>
          <w:tcPr>
            <w:tcW w:w="29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34210E"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 xml:space="preserve">Insufficient supporting materials (explanations, examples, illustrations, statistics, analogies, quotations from relevant authorities) make reference to information or analysis </w:t>
            </w:r>
            <w:r w:rsidRPr="004F1F96">
              <w:rPr>
                <w:rFonts w:ascii="Garamond" w:hAnsi="Garamond"/>
                <w:sz w:val="16"/>
                <w:szCs w:val="16"/>
                <w:lang w:val="en-US"/>
              </w:rPr>
              <w:t>that</w:t>
            </w:r>
            <w:r w:rsidRPr="004F1F96">
              <w:rPr>
                <w:rFonts w:ascii="Garamond" w:hAnsi="Garamond"/>
                <w:sz w:val="16"/>
                <w:szCs w:val="16"/>
              </w:rPr>
              <w:t xml:space="preserve"> minimally supports the presentation or establishes the presenter's credibility/authority on the topic.</w:t>
            </w:r>
          </w:p>
        </w:tc>
      </w:tr>
      <w:tr w:rsidR="008651B8" w:rsidRPr="004F1F96" w14:paraId="55DE055C" w14:textId="77777777" w:rsidTr="004E758A">
        <w:trPr>
          <w:trHeight w:val="952"/>
        </w:trPr>
        <w:tc>
          <w:tcPr>
            <w:tcW w:w="2966" w:type="dxa"/>
            <w:tcBorders>
              <w:left w:val="single" w:sz="2" w:space="0" w:color="000000"/>
              <w:bottom w:val="single" w:sz="2" w:space="0" w:color="000000"/>
            </w:tcBorders>
            <w:tcMar>
              <w:top w:w="55" w:type="dxa"/>
              <w:left w:w="55" w:type="dxa"/>
              <w:bottom w:w="55" w:type="dxa"/>
              <w:right w:w="55" w:type="dxa"/>
            </w:tcMar>
          </w:tcPr>
          <w:p w14:paraId="77C6C96A" w14:textId="77777777" w:rsidR="008651B8" w:rsidRPr="004F1F96" w:rsidRDefault="008651B8" w:rsidP="008651B8">
            <w:pPr>
              <w:pStyle w:val="Standard"/>
              <w:rPr>
                <w:rFonts w:ascii="Garamond" w:hAnsi="Garamond"/>
                <w:b/>
                <w:bCs/>
                <w:sz w:val="16"/>
                <w:szCs w:val="16"/>
              </w:rPr>
            </w:pPr>
            <w:r w:rsidRPr="004F1F96">
              <w:rPr>
                <w:rFonts w:ascii="Garamond" w:hAnsi="Garamond"/>
                <w:b/>
                <w:bCs/>
                <w:sz w:val="16"/>
                <w:szCs w:val="16"/>
              </w:rPr>
              <w:t>Central Message</w:t>
            </w:r>
          </w:p>
        </w:tc>
        <w:tc>
          <w:tcPr>
            <w:tcW w:w="2968" w:type="dxa"/>
            <w:tcBorders>
              <w:left w:val="single" w:sz="2" w:space="0" w:color="000000"/>
              <w:bottom w:val="single" w:sz="2" w:space="0" w:color="000000"/>
            </w:tcBorders>
            <w:tcMar>
              <w:top w:w="55" w:type="dxa"/>
              <w:left w:w="55" w:type="dxa"/>
              <w:bottom w:w="55" w:type="dxa"/>
              <w:right w:w="55" w:type="dxa"/>
            </w:tcMar>
          </w:tcPr>
          <w:p w14:paraId="2029D581"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Central message is compelling (precisely stated, appropriately repeated, memorable, and strongly supported.) </w:t>
            </w:r>
          </w:p>
        </w:tc>
        <w:tc>
          <w:tcPr>
            <w:tcW w:w="2967" w:type="dxa"/>
            <w:tcBorders>
              <w:left w:val="single" w:sz="2" w:space="0" w:color="000000"/>
              <w:bottom w:val="single" w:sz="2" w:space="0" w:color="000000"/>
            </w:tcBorders>
            <w:tcMar>
              <w:top w:w="55" w:type="dxa"/>
              <w:left w:w="55" w:type="dxa"/>
              <w:bottom w:w="55" w:type="dxa"/>
              <w:right w:w="55" w:type="dxa"/>
            </w:tcMar>
          </w:tcPr>
          <w:p w14:paraId="7FF08236"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Central message is clear and consistent with the supporting material.</w:t>
            </w:r>
          </w:p>
        </w:tc>
        <w:tc>
          <w:tcPr>
            <w:tcW w:w="2968" w:type="dxa"/>
            <w:tcBorders>
              <w:left w:val="single" w:sz="2" w:space="0" w:color="000000"/>
              <w:bottom w:val="single" w:sz="2" w:space="0" w:color="000000"/>
            </w:tcBorders>
            <w:tcMar>
              <w:top w:w="55" w:type="dxa"/>
              <w:left w:w="55" w:type="dxa"/>
              <w:bottom w:w="55" w:type="dxa"/>
              <w:right w:w="55" w:type="dxa"/>
            </w:tcMar>
          </w:tcPr>
          <w:p w14:paraId="48C05557"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Central message is basically understandable but is not often repeated and is not memorable.</w:t>
            </w:r>
          </w:p>
        </w:tc>
        <w:tc>
          <w:tcPr>
            <w:tcW w:w="29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96D109" w14:textId="77777777" w:rsidR="008651B8" w:rsidRPr="004F1F96" w:rsidRDefault="008651B8" w:rsidP="008651B8">
            <w:pPr>
              <w:pStyle w:val="Standard"/>
              <w:rPr>
                <w:rFonts w:ascii="Garamond" w:hAnsi="Garamond"/>
                <w:sz w:val="16"/>
                <w:szCs w:val="16"/>
              </w:rPr>
            </w:pPr>
            <w:r w:rsidRPr="004F1F96">
              <w:rPr>
                <w:rFonts w:ascii="Garamond" w:hAnsi="Garamond"/>
                <w:sz w:val="16"/>
                <w:szCs w:val="16"/>
              </w:rPr>
              <w:t>Central message can be deduced, but is not explicitly stated in the presentation.</w:t>
            </w:r>
          </w:p>
        </w:tc>
      </w:tr>
    </w:tbl>
    <w:p w14:paraId="63B6F862" w14:textId="7D63B392" w:rsidR="008651B8" w:rsidRPr="00650506" w:rsidRDefault="008651B8" w:rsidP="008651B8">
      <w:pPr>
        <w:rPr>
          <w:rFonts w:ascii="Times New Roman" w:hAnsi="Times New Roman" w:cs="Times New Roman"/>
          <w:sz w:val="24"/>
          <w:szCs w:val="24"/>
        </w:rPr>
      </w:pPr>
    </w:p>
    <w:sectPr w:rsidR="008651B8" w:rsidRPr="00650506" w:rsidSect="008651B8">
      <w:pgSz w:w="15840" w:h="12240" w:orient="landscape"/>
      <w:pgMar w:top="450" w:right="1440" w:bottom="819"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0F38"/>
    <w:multiLevelType w:val="hybridMultilevel"/>
    <w:tmpl w:val="6C50ABB2"/>
    <w:lvl w:ilvl="0" w:tplc="DF4A98C6">
      <w:start w:val="3"/>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04D79"/>
    <w:multiLevelType w:val="multilevel"/>
    <w:tmpl w:val="8DDA8AA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Calibri" w:eastAsia="Calibri" w:hAnsi="Calibri" w:cs="Times New Roman"/>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10C00"/>
    <w:multiLevelType w:val="hybridMultilevel"/>
    <w:tmpl w:val="4CEC6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939F4"/>
    <w:rsid w:val="000A2350"/>
    <w:rsid w:val="000F5DD5"/>
    <w:rsid w:val="002107F2"/>
    <w:rsid w:val="002D2AA1"/>
    <w:rsid w:val="00460666"/>
    <w:rsid w:val="004B1929"/>
    <w:rsid w:val="004D7482"/>
    <w:rsid w:val="004F279E"/>
    <w:rsid w:val="00537657"/>
    <w:rsid w:val="00635531"/>
    <w:rsid w:val="006464C6"/>
    <w:rsid w:val="00650506"/>
    <w:rsid w:val="0074718C"/>
    <w:rsid w:val="00760FF7"/>
    <w:rsid w:val="0079041A"/>
    <w:rsid w:val="008651B8"/>
    <w:rsid w:val="00884B58"/>
    <w:rsid w:val="00994D64"/>
    <w:rsid w:val="009C473D"/>
    <w:rsid w:val="009F1930"/>
    <w:rsid w:val="00A02CA0"/>
    <w:rsid w:val="00AE636E"/>
    <w:rsid w:val="00AF672E"/>
    <w:rsid w:val="00B31609"/>
    <w:rsid w:val="00D06B8A"/>
    <w:rsid w:val="00D35DF1"/>
    <w:rsid w:val="00D712AA"/>
    <w:rsid w:val="00D90647"/>
    <w:rsid w:val="00DC796C"/>
    <w:rsid w:val="00E36B28"/>
    <w:rsid w:val="00EE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158D"/>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customStyle="1" w:styleId="Standard">
    <w:name w:val="Standard"/>
    <w:rsid w:val="008651B8"/>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49245">
      <w:bodyDiv w:val="1"/>
      <w:marLeft w:val="0"/>
      <w:marRight w:val="0"/>
      <w:marTop w:val="0"/>
      <w:marBottom w:val="0"/>
      <w:divBdr>
        <w:top w:val="none" w:sz="0" w:space="0" w:color="auto"/>
        <w:left w:val="none" w:sz="0" w:space="0" w:color="auto"/>
        <w:bottom w:val="none" w:sz="0" w:space="0" w:color="auto"/>
        <w:right w:val="none" w:sz="0" w:space="0" w:color="auto"/>
      </w:divBdr>
      <w:divsChild>
        <w:div w:id="19556274">
          <w:marLeft w:val="0"/>
          <w:marRight w:val="0"/>
          <w:marTop w:val="0"/>
          <w:marBottom w:val="0"/>
          <w:divBdr>
            <w:top w:val="none" w:sz="0" w:space="0" w:color="auto"/>
            <w:left w:val="none" w:sz="0" w:space="0" w:color="auto"/>
            <w:bottom w:val="none" w:sz="0" w:space="0" w:color="auto"/>
            <w:right w:val="none" w:sz="0" w:space="0" w:color="auto"/>
          </w:divBdr>
        </w:div>
        <w:div w:id="924536253">
          <w:marLeft w:val="0"/>
          <w:marRight w:val="0"/>
          <w:marTop w:val="0"/>
          <w:marBottom w:val="0"/>
          <w:divBdr>
            <w:top w:val="none" w:sz="0" w:space="0" w:color="auto"/>
            <w:left w:val="none" w:sz="0" w:space="0" w:color="auto"/>
            <w:bottom w:val="none" w:sz="0" w:space="0" w:color="auto"/>
            <w:right w:val="none" w:sz="0" w:space="0" w:color="auto"/>
          </w:divBdr>
        </w:div>
        <w:div w:id="1829203844">
          <w:marLeft w:val="0"/>
          <w:marRight w:val="0"/>
          <w:marTop w:val="0"/>
          <w:marBottom w:val="0"/>
          <w:divBdr>
            <w:top w:val="none" w:sz="0" w:space="0" w:color="auto"/>
            <w:left w:val="none" w:sz="0" w:space="0" w:color="auto"/>
            <w:bottom w:val="none" w:sz="0" w:space="0" w:color="auto"/>
            <w:right w:val="none" w:sz="0" w:space="0" w:color="auto"/>
          </w:divBdr>
        </w:div>
        <w:div w:id="1029767694">
          <w:marLeft w:val="0"/>
          <w:marRight w:val="0"/>
          <w:marTop w:val="0"/>
          <w:marBottom w:val="0"/>
          <w:divBdr>
            <w:top w:val="none" w:sz="0" w:space="0" w:color="auto"/>
            <w:left w:val="none" w:sz="0" w:space="0" w:color="auto"/>
            <w:bottom w:val="none" w:sz="0" w:space="0" w:color="auto"/>
            <w:right w:val="none" w:sz="0" w:space="0" w:color="auto"/>
          </w:divBdr>
        </w:div>
        <w:div w:id="1725518380">
          <w:marLeft w:val="0"/>
          <w:marRight w:val="0"/>
          <w:marTop w:val="0"/>
          <w:marBottom w:val="0"/>
          <w:divBdr>
            <w:top w:val="none" w:sz="0" w:space="0" w:color="auto"/>
            <w:left w:val="none" w:sz="0" w:space="0" w:color="auto"/>
            <w:bottom w:val="none" w:sz="0" w:space="0" w:color="auto"/>
            <w:right w:val="none" w:sz="0" w:space="0" w:color="auto"/>
          </w:divBdr>
        </w:div>
        <w:div w:id="2137870584">
          <w:marLeft w:val="0"/>
          <w:marRight w:val="0"/>
          <w:marTop w:val="0"/>
          <w:marBottom w:val="0"/>
          <w:divBdr>
            <w:top w:val="none" w:sz="0" w:space="0" w:color="auto"/>
            <w:left w:val="none" w:sz="0" w:space="0" w:color="auto"/>
            <w:bottom w:val="none" w:sz="0" w:space="0" w:color="auto"/>
            <w:right w:val="none" w:sz="0" w:space="0" w:color="auto"/>
          </w:divBdr>
        </w:div>
        <w:div w:id="161824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2020-10-31T17:36:00Z</dcterms:created>
  <dcterms:modified xsi:type="dcterms:W3CDTF">2020-10-31T17:36:00Z</dcterms:modified>
</cp:coreProperties>
</file>