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r w:rsidR="001E7A41">
        <w:rPr>
          <w:rFonts w:ascii="Times New Roman" w:hAnsi="Times New Roman" w:cs="Times New Roman"/>
          <w:b/>
          <w:sz w:val="24"/>
          <w:szCs w:val="24"/>
        </w:rPr>
        <w:t>(BS Program)</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A338F" w:rsidRDefault="003D0E82" w:rsidP="003D0E8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w:t>
            </w:r>
            <w:r w:rsidR="00927A96">
              <w:rPr>
                <w:rFonts w:ascii="Times New Roman" w:hAnsi="Times New Roman" w:cs="Times New Roman"/>
                <w:sz w:val="24"/>
                <w:szCs w:val="24"/>
              </w:rPr>
              <w:t xml:space="preserve">s or benchmarks in this section. </w:t>
            </w:r>
            <w:r>
              <w:rPr>
                <w:rFonts w:ascii="Times New Roman" w:hAnsi="Times New Roman" w:cs="Times New Roman"/>
                <w:sz w:val="24"/>
                <w:szCs w:val="24"/>
              </w:rPr>
              <w:t>Also</w:t>
            </w:r>
            <w:r w:rsidR="00B75A98">
              <w:rPr>
                <w:rFonts w:ascii="Times New Roman" w:hAnsi="Times New Roman" w:cs="Times New Roman"/>
                <w:sz w:val="24"/>
                <w:szCs w:val="24"/>
              </w:rPr>
              <w:t>,</w:t>
            </w:r>
            <w:r>
              <w:rPr>
                <w:rFonts w:ascii="Times New Roman" w:hAnsi="Times New Roman" w:cs="Times New Roman"/>
                <w:sz w:val="24"/>
                <w:szCs w:val="24"/>
              </w:rPr>
              <w:t xml:space="preserve">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927A96">
              <w:rPr>
                <w:rFonts w:ascii="Times New Roman" w:hAnsi="Times New Roman" w:cs="Times New Roman"/>
                <w:sz w:val="24"/>
                <w:szCs w:val="24"/>
              </w:rPr>
              <w:t xml:space="preserve">  </w:t>
            </w:r>
            <w:r w:rsidR="00927A96" w:rsidRPr="00927A96">
              <w:rPr>
                <w:rFonts w:ascii="Times New Roman" w:hAnsi="Times New Roman" w:cs="Times New Roman"/>
                <w:b/>
                <w:sz w:val="24"/>
                <w:szCs w:val="24"/>
              </w:rPr>
              <w:t>Effective Communication:</w:t>
            </w:r>
            <w:r w:rsidR="00927A96">
              <w:rPr>
                <w:rFonts w:ascii="Times New Roman" w:hAnsi="Times New Roman" w:cs="Times New Roman"/>
                <w:sz w:val="24"/>
                <w:szCs w:val="24"/>
              </w:rPr>
              <w:t xml:space="preserve">  </w:t>
            </w:r>
            <w:r w:rsidR="00F171F9">
              <w:rPr>
                <w:rFonts w:ascii="Times New Roman" w:hAnsi="Times New Roman" w:cs="Times New Roman"/>
                <w:sz w:val="24"/>
                <w:szCs w:val="24"/>
              </w:rPr>
              <w:t>Students</w:t>
            </w:r>
            <w:r w:rsidR="00927A96">
              <w:rPr>
                <w:rFonts w:ascii="Times New Roman" w:hAnsi="Times New Roman" w:cs="Times New Roman"/>
                <w:sz w:val="24"/>
                <w:szCs w:val="24"/>
              </w:rPr>
              <w:t xml:space="preserve"> will be able to demonstrate effective verbal, non-verbal, and written communication skills in a wide variety of contexts, including collaborative activities. </w:t>
            </w:r>
          </w:p>
          <w:p w:rsidR="00674720" w:rsidRPr="00951F58" w:rsidRDefault="00674720" w:rsidP="003D0E82">
            <w:pPr>
              <w:rPr>
                <w:rFonts w:ascii="Times New Roman" w:hAnsi="Times New Roman" w:cs="Times New Roman"/>
                <w:sz w:val="24"/>
                <w:szCs w:val="24"/>
              </w:rPr>
            </w:pPr>
          </w:p>
          <w:p w:rsidR="005B5BA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927A96">
              <w:rPr>
                <w:rFonts w:ascii="Times New Roman" w:hAnsi="Times New Roman" w:cs="Times New Roman"/>
                <w:sz w:val="24"/>
                <w:szCs w:val="24"/>
              </w:rPr>
              <w:t xml:space="preserve">  </w:t>
            </w:r>
            <w:r w:rsidR="00927A96" w:rsidRPr="00927A96">
              <w:rPr>
                <w:rFonts w:ascii="Times New Roman" w:hAnsi="Times New Roman" w:cs="Times New Roman"/>
                <w:b/>
                <w:sz w:val="24"/>
                <w:szCs w:val="24"/>
              </w:rPr>
              <w:t>CHES Competencies:</w:t>
            </w:r>
            <w:r w:rsidR="00927A96">
              <w:rPr>
                <w:rFonts w:ascii="Times New Roman" w:hAnsi="Times New Roman" w:cs="Times New Roman"/>
                <w:sz w:val="24"/>
                <w:szCs w:val="24"/>
              </w:rPr>
              <w:t xml:space="preserve">  Students will be able to demonstrate entry-level competence for each of the seven Areas of Responsibilities of a Health Education Specialist. </w:t>
            </w: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9C2DFD" w:rsidRDefault="00927A96" w:rsidP="003D0E82">
            <w:pPr>
              <w:rPr>
                <w:rFonts w:ascii="Times New Roman" w:hAnsi="Times New Roman" w:cs="Times New Roman"/>
                <w:sz w:val="24"/>
                <w:szCs w:val="24"/>
              </w:rPr>
            </w:pPr>
            <w:r>
              <w:rPr>
                <w:rFonts w:ascii="Times New Roman" w:hAnsi="Times New Roman" w:cs="Times New Roman"/>
                <w:sz w:val="24"/>
                <w:szCs w:val="24"/>
              </w:rPr>
              <w:t xml:space="preserve">For Outcome 4 (Effective Communication), </w:t>
            </w:r>
            <w:r w:rsidR="00644E5B">
              <w:rPr>
                <w:rFonts w:ascii="Times New Roman" w:hAnsi="Times New Roman" w:cs="Times New Roman"/>
                <w:sz w:val="24"/>
                <w:szCs w:val="24"/>
              </w:rPr>
              <w:t xml:space="preserve">a 4-8 page behavior change paper was assessed using a </w:t>
            </w:r>
            <w:r w:rsidR="00EF7BCB">
              <w:rPr>
                <w:rFonts w:ascii="Times New Roman" w:hAnsi="Times New Roman" w:cs="Times New Roman"/>
                <w:sz w:val="24"/>
                <w:szCs w:val="24"/>
              </w:rPr>
              <w:t xml:space="preserve">written communication rubric </w:t>
            </w:r>
            <w:r w:rsidR="009C2DFD">
              <w:rPr>
                <w:rFonts w:ascii="Times New Roman" w:hAnsi="Times New Roman" w:cs="Times New Roman"/>
                <w:sz w:val="24"/>
                <w:szCs w:val="24"/>
              </w:rPr>
              <w:t xml:space="preserve">(please see attached rubric).  This paper consisted </w:t>
            </w:r>
            <w:r w:rsidR="00644E5B">
              <w:rPr>
                <w:rFonts w:ascii="Times New Roman" w:hAnsi="Times New Roman" w:cs="Times New Roman"/>
                <w:sz w:val="24"/>
                <w:szCs w:val="24"/>
              </w:rPr>
              <w:t>of the following:  a “how healthy are you assessment”; background information on a health topic of interest; a behavioral change plan; and a results section</w:t>
            </w:r>
            <w:r w:rsidR="009C2DFD">
              <w:rPr>
                <w:rFonts w:ascii="Times New Roman" w:hAnsi="Times New Roman" w:cs="Times New Roman"/>
                <w:sz w:val="24"/>
                <w:szCs w:val="24"/>
              </w:rPr>
              <w:t>,</w:t>
            </w:r>
            <w:r w:rsidR="00644E5B">
              <w:rPr>
                <w:rFonts w:ascii="Times New Roman" w:hAnsi="Times New Roman" w:cs="Times New Roman"/>
                <w:sz w:val="24"/>
                <w:szCs w:val="24"/>
              </w:rPr>
              <w:t xml:space="preserve"> including a discussion on successes and/or challenges</w:t>
            </w:r>
            <w:r w:rsidR="009C2DFD">
              <w:rPr>
                <w:rFonts w:ascii="Times New Roman" w:hAnsi="Times New Roman" w:cs="Times New Roman"/>
                <w:sz w:val="24"/>
                <w:szCs w:val="24"/>
              </w:rPr>
              <w:t xml:space="preserve">.  This assignment </w:t>
            </w:r>
            <w:r w:rsidR="00B75A98">
              <w:rPr>
                <w:rFonts w:ascii="Times New Roman" w:hAnsi="Times New Roman" w:cs="Times New Roman"/>
                <w:sz w:val="24"/>
                <w:szCs w:val="24"/>
              </w:rPr>
              <w:t>measured</w:t>
            </w:r>
            <w:r w:rsidR="009C2DFD">
              <w:rPr>
                <w:rFonts w:ascii="Times New Roman" w:hAnsi="Times New Roman" w:cs="Times New Roman"/>
                <w:sz w:val="24"/>
                <w:szCs w:val="24"/>
              </w:rPr>
              <w:t xml:space="preserve"> the student’s ability to use appropriate spelling and grammar.  </w:t>
            </w:r>
          </w:p>
          <w:p w:rsidR="00927A96" w:rsidRDefault="009C2DFD" w:rsidP="003D0E82">
            <w:pPr>
              <w:rPr>
                <w:rFonts w:ascii="Times New Roman" w:hAnsi="Times New Roman" w:cs="Times New Roman"/>
                <w:sz w:val="24"/>
                <w:szCs w:val="24"/>
              </w:rPr>
            </w:pPr>
            <w:r w:rsidRPr="0071760B">
              <w:rPr>
                <w:rFonts w:ascii="Times New Roman" w:hAnsi="Times New Roman" w:cs="Times New Roman"/>
                <w:b/>
                <w:sz w:val="24"/>
                <w:szCs w:val="24"/>
              </w:rPr>
              <w:t>Benchmark:</w:t>
            </w:r>
            <w:r>
              <w:rPr>
                <w:rFonts w:ascii="Times New Roman" w:hAnsi="Times New Roman" w:cs="Times New Roman"/>
                <w:sz w:val="24"/>
                <w:szCs w:val="24"/>
              </w:rPr>
              <w:t xml:space="preserve">  </w:t>
            </w:r>
            <w:r w:rsidR="00644E5B">
              <w:rPr>
                <w:rFonts w:ascii="Times New Roman" w:hAnsi="Times New Roman" w:cs="Times New Roman"/>
                <w:sz w:val="24"/>
                <w:szCs w:val="24"/>
              </w:rPr>
              <w:t xml:space="preserve">For this outcome, </w:t>
            </w:r>
            <w:r w:rsidR="00927A96">
              <w:rPr>
                <w:rFonts w:ascii="Times New Roman" w:hAnsi="Times New Roman" w:cs="Times New Roman"/>
                <w:sz w:val="24"/>
                <w:szCs w:val="24"/>
              </w:rPr>
              <w:t>we expected at least 80% of students to achieve a score of 3 or above on the rubric.</w:t>
            </w:r>
            <w:r>
              <w:rPr>
                <w:rFonts w:ascii="Times New Roman" w:hAnsi="Times New Roman" w:cs="Times New Roman"/>
                <w:sz w:val="24"/>
                <w:szCs w:val="24"/>
              </w:rPr>
              <w:t xml:space="preserve">  The percent indicated above was not included in the SOAP document, but determined through consultation with faculty in the department.  The department is revising the SOAP document, and percentages will be included in the new version.</w:t>
            </w:r>
          </w:p>
          <w:p w:rsidR="009C2DFD" w:rsidRDefault="009C2DFD" w:rsidP="003D0E82">
            <w:pPr>
              <w:rPr>
                <w:rFonts w:ascii="Times New Roman" w:hAnsi="Times New Roman" w:cs="Times New Roman"/>
                <w:sz w:val="24"/>
                <w:szCs w:val="24"/>
              </w:rPr>
            </w:pPr>
          </w:p>
          <w:p w:rsidR="00EF7BCB" w:rsidRDefault="00927A96" w:rsidP="003D0E82">
            <w:pPr>
              <w:rPr>
                <w:rFonts w:ascii="Times New Roman" w:hAnsi="Times New Roman" w:cs="Times New Roman"/>
                <w:sz w:val="24"/>
                <w:szCs w:val="24"/>
              </w:rPr>
            </w:pPr>
            <w:r>
              <w:rPr>
                <w:rFonts w:ascii="Times New Roman" w:hAnsi="Times New Roman" w:cs="Times New Roman"/>
                <w:sz w:val="24"/>
                <w:szCs w:val="24"/>
              </w:rPr>
              <w:lastRenderedPageBreak/>
              <w:t xml:space="preserve">For Outcome 6 (CHES Competencies), </w:t>
            </w:r>
            <w:r w:rsidR="009C2DFD">
              <w:rPr>
                <w:rFonts w:ascii="Times New Roman" w:hAnsi="Times New Roman" w:cs="Times New Roman"/>
                <w:sz w:val="24"/>
                <w:szCs w:val="24"/>
              </w:rPr>
              <w:t xml:space="preserve">students completed a CHES competencies assessment to determine their level of competence with each of the seven Areas of Responsibility of a Health </w:t>
            </w:r>
            <w:r w:rsidR="001E7A41">
              <w:rPr>
                <w:rFonts w:ascii="Times New Roman" w:hAnsi="Times New Roman" w:cs="Times New Roman"/>
                <w:sz w:val="24"/>
                <w:szCs w:val="24"/>
              </w:rPr>
              <w:t>Education Specialist</w:t>
            </w:r>
            <w:r w:rsidR="009C2DFD">
              <w:rPr>
                <w:rFonts w:ascii="Times New Roman" w:hAnsi="Times New Roman" w:cs="Times New Roman"/>
                <w:sz w:val="24"/>
                <w:szCs w:val="24"/>
              </w:rPr>
              <w:t xml:space="preserve">.  </w:t>
            </w:r>
            <w:r w:rsidR="000B6699">
              <w:rPr>
                <w:rFonts w:ascii="Times New Roman" w:hAnsi="Times New Roman" w:cs="Times New Roman"/>
                <w:sz w:val="24"/>
                <w:szCs w:val="24"/>
              </w:rPr>
              <w:t>Following, are the</w:t>
            </w:r>
            <w:r w:rsidR="009C2DFD">
              <w:rPr>
                <w:rFonts w:ascii="Times New Roman" w:hAnsi="Times New Roman" w:cs="Times New Roman"/>
                <w:sz w:val="24"/>
                <w:szCs w:val="24"/>
              </w:rPr>
              <w:t xml:space="preserve"> seven </w:t>
            </w:r>
            <w:r w:rsidR="00EF7BCB">
              <w:rPr>
                <w:rFonts w:ascii="Times New Roman" w:hAnsi="Times New Roman" w:cs="Times New Roman"/>
                <w:sz w:val="24"/>
                <w:szCs w:val="24"/>
              </w:rPr>
              <w:t>Areas of Responsibility</w:t>
            </w:r>
            <w:r w:rsidR="009C2DFD">
              <w:rPr>
                <w:rFonts w:ascii="Times New Roman" w:hAnsi="Times New Roman" w:cs="Times New Roman"/>
                <w:sz w:val="24"/>
                <w:szCs w:val="24"/>
              </w:rPr>
              <w:t xml:space="preserve">:  assessing individual and community needs for health education; planning health education strategies, interventions, and programs; implementing health education strategies, interventions, and programs; conducting evaluation and research related to health education; administering health education strategies, interventions, and programs; serving as </w:t>
            </w:r>
            <w:r w:rsidR="00EF7BCB">
              <w:rPr>
                <w:rFonts w:ascii="Times New Roman" w:hAnsi="Times New Roman" w:cs="Times New Roman"/>
                <w:sz w:val="24"/>
                <w:szCs w:val="24"/>
              </w:rPr>
              <w:t xml:space="preserve">a </w:t>
            </w:r>
            <w:r w:rsidR="009C2DFD">
              <w:rPr>
                <w:rFonts w:ascii="Times New Roman" w:hAnsi="Times New Roman" w:cs="Times New Roman"/>
                <w:sz w:val="24"/>
                <w:szCs w:val="24"/>
              </w:rPr>
              <w:t xml:space="preserve">health education resource person; </w:t>
            </w:r>
            <w:r w:rsidR="00EF7BCB">
              <w:rPr>
                <w:rFonts w:ascii="Times New Roman" w:hAnsi="Times New Roman" w:cs="Times New Roman"/>
                <w:sz w:val="24"/>
                <w:szCs w:val="24"/>
              </w:rPr>
              <w:t xml:space="preserve">and </w:t>
            </w:r>
            <w:r w:rsidR="009C2DFD">
              <w:rPr>
                <w:rFonts w:ascii="Times New Roman" w:hAnsi="Times New Roman" w:cs="Times New Roman"/>
                <w:sz w:val="24"/>
                <w:szCs w:val="24"/>
              </w:rPr>
              <w:t xml:space="preserve">communicating and advocating </w:t>
            </w:r>
            <w:r w:rsidR="00EF7BCB">
              <w:rPr>
                <w:rFonts w:ascii="Times New Roman" w:hAnsi="Times New Roman" w:cs="Times New Roman"/>
                <w:sz w:val="24"/>
                <w:szCs w:val="24"/>
              </w:rPr>
              <w:t xml:space="preserve">for health and health education.  Please see attached </w:t>
            </w:r>
            <w:r w:rsidR="00F171F9">
              <w:rPr>
                <w:rFonts w:ascii="Times New Roman" w:hAnsi="Times New Roman" w:cs="Times New Roman"/>
                <w:sz w:val="24"/>
                <w:szCs w:val="24"/>
              </w:rPr>
              <w:t>assessment</w:t>
            </w:r>
            <w:r w:rsidR="00EF7BCB">
              <w:rPr>
                <w:rFonts w:ascii="Times New Roman" w:hAnsi="Times New Roman" w:cs="Times New Roman"/>
                <w:sz w:val="24"/>
                <w:szCs w:val="24"/>
              </w:rPr>
              <w:t xml:space="preserve">.  </w:t>
            </w:r>
            <w:r w:rsidR="009C2DFD">
              <w:rPr>
                <w:rFonts w:ascii="Times New Roman" w:hAnsi="Times New Roman" w:cs="Times New Roman"/>
                <w:sz w:val="24"/>
                <w:szCs w:val="24"/>
              </w:rPr>
              <w:t xml:space="preserve"> </w:t>
            </w:r>
          </w:p>
          <w:p w:rsidR="000B6699" w:rsidRDefault="00EF7BCB" w:rsidP="003D0E82">
            <w:pPr>
              <w:rPr>
                <w:rFonts w:ascii="Times New Roman" w:hAnsi="Times New Roman" w:cs="Times New Roman"/>
                <w:sz w:val="24"/>
                <w:szCs w:val="24"/>
              </w:rPr>
            </w:pPr>
            <w:r w:rsidRPr="0071760B">
              <w:rPr>
                <w:rFonts w:ascii="Times New Roman" w:hAnsi="Times New Roman" w:cs="Times New Roman"/>
                <w:b/>
                <w:sz w:val="24"/>
                <w:szCs w:val="24"/>
              </w:rPr>
              <w:t>Benchmark:</w:t>
            </w:r>
            <w:r>
              <w:rPr>
                <w:rFonts w:ascii="Times New Roman" w:hAnsi="Times New Roman" w:cs="Times New Roman"/>
                <w:sz w:val="24"/>
                <w:szCs w:val="24"/>
              </w:rPr>
              <w:t xml:space="preserve">  </w:t>
            </w:r>
            <w:r w:rsidR="0020670A">
              <w:rPr>
                <w:rFonts w:ascii="Times New Roman" w:hAnsi="Times New Roman" w:cs="Times New Roman"/>
                <w:sz w:val="24"/>
                <w:szCs w:val="24"/>
              </w:rPr>
              <w:t>There is no expected</w:t>
            </w:r>
            <w:r w:rsidR="00B75A98">
              <w:rPr>
                <w:rFonts w:ascii="Times New Roman" w:hAnsi="Times New Roman" w:cs="Times New Roman"/>
                <w:sz w:val="24"/>
                <w:szCs w:val="24"/>
              </w:rPr>
              <w:t xml:space="preserve"> benchmark.  </w:t>
            </w:r>
            <w:r w:rsidR="0020670A">
              <w:rPr>
                <w:rFonts w:ascii="Times New Roman" w:hAnsi="Times New Roman" w:cs="Times New Roman"/>
                <w:sz w:val="24"/>
                <w:szCs w:val="24"/>
              </w:rPr>
              <w:t xml:space="preserve">The department SOAP listed this as a direct measure, however; it is an indirect measure as it is a self-reported </w:t>
            </w:r>
            <w:r w:rsidR="000B6699">
              <w:rPr>
                <w:rFonts w:ascii="Times New Roman" w:hAnsi="Times New Roman" w:cs="Times New Roman"/>
                <w:sz w:val="24"/>
                <w:szCs w:val="24"/>
              </w:rPr>
              <w:t>assessment</w:t>
            </w:r>
            <w:r w:rsidR="0020670A">
              <w:rPr>
                <w:rFonts w:ascii="Times New Roman" w:hAnsi="Times New Roman" w:cs="Times New Roman"/>
                <w:sz w:val="24"/>
                <w:szCs w:val="24"/>
              </w:rPr>
              <w:t xml:space="preserve">.  </w:t>
            </w:r>
            <w:r w:rsidR="001E7A41">
              <w:rPr>
                <w:rFonts w:ascii="Times New Roman" w:hAnsi="Times New Roman" w:cs="Times New Roman"/>
                <w:sz w:val="24"/>
                <w:szCs w:val="24"/>
              </w:rPr>
              <w:t xml:space="preserve">The faculty consider this assessment to be formative in nature as the results dictate the </w:t>
            </w:r>
            <w:r w:rsidR="001E7A41">
              <w:rPr>
                <w:rFonts w:ascii="Times New Roman" w:hAnsi="Times New Roman" w:cs="Times New Roman"/>
                <w:sz w:val="24"/>
                <w:szCs w:val="24"/>
              </w:rPr>
              <w:t>learning activities</w:t>
            </w:r>
            <w:r w:rsidR="001E7A41">
              <w:rPr>
                <w:rFonts w:ascii="Times New Roman" w:hAnsi="Times New Roman" w:cs="Times New Roman"/>
                <w:sz w:val="24"/>
                <w:szCs w:val="24"/>
              </w:rPr>
              <w:t xml:space="preserve"> that should be </w:t>
            </w:r>
            <w:r w:rsidR="001E7A41">
              <w:rPr>
                <w:rFonts w:ascii="Times New Roman" w:hAnsi="Times New Roman" w:cs="Times New Roman"/>
                <w:sz w:val="24"/>
                <w:szCs w:val="24"/>
              </w:rPr>
              <w:t>integrated into the classroom experience</w:t>
            </w:r>
            <w:r w:rsidR="001E7A41">
              <w:rPr>
                <w:rFonts w:ascii="Times New Roman" w:hAnsi="Times New Roman" w:cs="Times New Roman"/>
                <w:sz w:val="24"/>
                <w:szCs w:val="24"/>
              </w:rPr>
              <w:t xml:space="preserve">.  </w:t>
            </w:r>
            <w:r w:rsidR="001E7A41">
              <w:rPr>
                <w:rFonts w:ascii="Times New Roman" w:hAnsi="Times New Roman" w:cs="Times New Roman"/>
                <w:sz w:val="24"/>
                <w:szCs w:val="24"/>
              </w:rPr>
              <w:t>The students</w:t>
            </w:r>
            <w:r w:rsidR="0020670A">
              <w:rPr>
                <w:rFonts w:ascii="Times New Roman" w:hAnsi="Times New Roman" w:cs="Times New Roman"/>
                <w:sz w:val="24"/>
                <w:szCs w:val="24"/>
              </w:rPr>
              <w:t xml:space="preserve"> did not receive a grade </w:t>
            </w:r>
            <w:r w:rsidR="001E7A41">
              <w:rPr>
                <w:rFonts w:ascii="Times New Roman" w:hAnsi="Times New Roman" w:cs="Times New Roman"/>
                <w:sz w:val="24"/>
                <w:szCs w:val="24"/>
              </w:rPr>
              <w:t xml:space="preserve">on this assessment.  </w:t>
            </w:r>
          </w:p>
          <w:p w:rsidR="003D0E82" w:rsidRDefault="003D0E82" w:rsidP="000B6699"/>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Discuss the student performance in relation to your standards or expectations. Be sure to clearly indicate how many students did (or did not) meet the standard for each outcome measured. Where possible, indicate the relative strengths and weaknesses in student</w:t>
            </w:r>
            <w:r w:rsidR="00321827">
              <w:rPr>
                <w:rFonts w:ascii="Times New Roman" w:hAnsi="Times New Roman" w:cs="Times New Roman"/>
                <w:sz w:val="24"/>
                <w:szCs w:val="24"/>
                <w:shd w:val="clear" w:color="auto" w:fill="92D050"/>
              </w:rPr>
              <w:t xml:space="preserve"> performance on the outcome(s).</w:t>
            </w:r>
          </w:p>
          <w:p w:rsidR="000915A8" w:rsidRDefault="000915A8" w:rsidP="00473A36">
            <w:pPr>
              <w:rPr>
                <w:rFonts w:ascii="Times New Roman" w:hAnsi="Times New Roman" w:cs="Times New Roman"/>
                <w:sz w:val="24"/>
                <w:szCs w:val="24"/>
              </w:rPr>
            </w:pPr>
          </w:p>
          <w:p w:rsidR="003D0E82" w:rsidRPr="000915A8" w:rsidRDefault="000915A8" w:rsidP="00473A36">
            <w:pPr>
              <w:rPr>
                <w:rFonts w:ascii="Times New Roman" w:hAnsi="Times New Roman" w:cs="Times New Roman"/>
                <w:sz w:val="24"/>
                <w:szCs w:val="24"/>
              </w:rPr>
            </w:pPr>
            <w:r>
              <w:rPr>
                <w:rFonts w:ascii="Times New Roman" w:hAnsi="Times New Roman" w:cs="Times New Roman"/>
                <w:sz w:val="24"/>
                <w:szCs w:val="24"/>
              </w:rPr>
              <w:t xml:space="preserve">For Outcome 4 (Effective Communication), out of 44 students, 20 (45.5%) earned a score of 3 or above on the rubric.  </w:t>
            </w:r>
            <w:r w:rsidR="007B34A1">
              <w:rPr>
                <w:rFonts w:ascii="Times New Roman" w:hAnsi="Times New Roman" w:cs="Times New Roman"/>
                <w:sz w:val="24"/>
                <w:szCs w:val="24"/>
              </w:rPr>
              <w:t xml:space="preserve">In general, students </w:t>
            </w:r>
            <w:r w:rsidR="00733AB9">
              <w:rPr>
                <w:rFonts w:ascii="Times New Roman" w:hAnsi="Times New Roman" w:cs="Times New Roman"/>
                <w:sz w:val="24"/>
                <w:szCs w:val="24"/>
              </w:rPr>
              <w:t xml:space="preserve">scored higher on the </w:t>
            </w:r>
            <w:r w:rsidR="00BA5403">
              <w:rPr>
                <w:rFonts w:ascii="Times New Roman" w:hAnsi="Times New Roman" w:cs="Times New Roman"/>
                <w:sz w:val="24"/>
                <w:szCs w:val="24"/>
              </w:rPr>
              <w:t xml:space="preserve">health </w:t>
            </w:r>
            <w:r w:rsidR="00733AB9">
              <w:rPr>
                <w:rFonts w:ascii="Times New Roman" w:hAnsi="Times New Roman" w:cs="Times New Roman"/>
                <w:sz w:val="24"/>
                <w:szCs w:val="24"/>
              </w:rPr>
              <w:t xml:space="preserve">assessment, </w:t>
            </w:r>
            <w:r w:rsidR="00BA5403">
              <w:rPr>
                <w:rFonts w:ascii="Times New Roman" w:hAnsi="Times New Roman" w:cs="Times New Roman"/>
                <w:sz w:val="24"/>
                <w:szCs w:val="24"/>
              </w:rPr>
              <w:t>behavior change plan</w:t>
            </w:r>
            <w:r w:rsidR="00733AB9">
              <w:rPr>
                <w:rFonts w:ascii="Times New Roman" w:hAnsi="Times New Roman" w:cs="Times New Roman"/>
                <w:sz w:val="24"/>
                <w:szCs w:val="24"/>
              </w:rPr>
              <w:t>, and results sections</w:t>
            </w:r>
            <w:r w:rsidR="008D5C64">
              <w:rPr>
                <w:rFonts w:ascii="Times New Roman" w:hAnsi="Times New Roman" w:cs="Times New Roman"/>
                <w:sz w:val="24"/>
                <w:szCs w:val="24"/>
              </w:rPr>
              <w:t xml:space="preserve"> of the behavior change paper</w:t>
            </w:r>
            <w:r w:rsidR="00733AB9">
              <w:rPr>
                <w:rFonts w:ascii="Times New Roman" w:hAnsi="Times New Roman" w:cs="Times New Roman"/>
                <w:sz w:val="24"/>
                <w:szCs w:val="24"/>
              </w:rPr>
              <w:t xml:space="preserve">.  </w:t>
            </w:r>
            <w:r w:rsidR="008D5C64">
              <w:rPr>
                <w:rFonts w:ascii="Times New Roman" w:hAnsi="Times New Roman" w:cs="Times New Roman"/>
                <w:sz w:val="24"/>
                <w:szCs w:val="24"/>
              </w:rPr>
              <w:t>Scores were lower</w:t>
            </w:r>
            <w:r w:rsidR="00733AB9">
              <w:rPr>
                <w:rFonts w:ascii="Times New Roman" w:hAnsi="Times New Roman" w:cs="Times New Roman"/>
                <w:sz w:val="24"/>
                <w:szCs w:val="24"/>
              </w:rPr>
              <w:t xml:space="preserve"> on the bac</w:t>
            </w:r>
            <w:r w:rsidR="00BA5403">
              <w:rPr>
                <w:rFonts w:ascii="Times New Roman" w:hAnsi="Times New Roman" w:cs="Times New Roman"/>
                <w:sz w:val="24"/>
                <w:szCs w:val="24"/>
              </w:rPr>
              <w:t>k</w:t>
            </w:r>
            <w:r w:rsidR="008D5C64">
              <w:rPr>
                <w:rFonts w:ascii="Times New Roman" w:hAnsi="Times New Roman" w:cs="Times New Roman"/>
                <w:sz w:val="24"/>
                <w:szCs w:val="24"/>
              </w:rPr>
              <w:t xml:space="preserve">ground section, and </w:t>
            </w:r>
            <w:r w:rsidR="00BA5403">
              <w:rPr>
                <w:rFonts w:ascii="Times New Roman" w:hAnsi="Times New Roman" w:cs="Times New Roman"/>
                <w:sz w:val="24"/>
                <w:szCs w:val="24"/>
              </w:rPr>
              <w:t>numerous g</w:t>
            </w:r>
            <w:r w:rsidR="00733AB9">
              <w:rPr>
                <w:rFonts w:ascii="Times New Roman" w:hAnsi="Times New Roman" w:cs="Times New Roman"/>
                <w:sz w:val="24"/>
                <w:szCs w:val="24"/>
              </w:rPr>
              <w:t xml:space="preserve">rammar and spelling errors </w:t>
            </w:r>
            <w:r w:rsidR="0055402E">
              <w:rPr>
                <w:rFonts w:ascii="Times New Roman" w:hAnsi="Times New Roman" w:cs="Times New Roman"/>
                <w:sz w:val="24"/>
                <w:szCs w:val="24"/>
              </w:rPr>
              <w:t>occurred</w:t>
            </w:r>
            <w:r w:rsidR="00733AB9">
              <w:rPr>
                <w:rFonts w:ascii="Times New Roman" w:hAnsi="Times New Roman" w:cs="Times New Roman"/>
                <w:sz w:val="24"/>
                <w:szCs w:val="24"/>
              </w:rPr>
              <w:t xml:space="preserve"> throughout the </w:t>
            </w:r>
            <w:r w:rsidR="00BA5403">
              <w:rPr>
                <w:rFonts w:ascii="Times New Roman" w:hAnsi="Times New Roman" w:cs="Times New Roman"/>
                <w:sz w:val="24"/>
                <w:szCs w:val="24"/>
              </w:rPr>
              <w:t>papers</w:t>
            </w:r>
            <w:r w:rsidR="00733AB9">
              <w:rPr>
                <w:rFonts w:ascii="Times New Roman" w:hAnsi="Times New Roman" w:cs="Times New Roman"/>
                <w:sz w:val="24"/>
                <w:szCs w:val="24"/>
              </w:rPr>
              <w:t xml:space="preserve">.   </w:t>
            </w:r>
          </w:p>
          <w:p w:rsidR="00F171F9" w:rsidRDefault="00F171F9" w:rsidP="00F171F9">
            <w:pPr>
              <w:rPr>
                <w:rFonts w:ascii="Times New Roman" w:hAnsi="Times New Roman" w:cs="Times New Roman"/>
                <w:b/>
                <w:sz w:val="24"/>
                <w:szCs w:val="24"/>
              </w:rPr>
            </w:pPr>
          </w:p>
          <w:p w:rsidR="000915A8" w:rsidRPr="000915A8" w:rsidRDefault="000915A8" w:rsidP="00F171F9">
            <w:pPr>
              <w:rPr>
                <w:rFonts w:ascii="Times New Roman" w:hAnsi="Times New Roman" w:cs="Times New Roman"/>
                <w:sz w:val="24"/>
                <w:szCs w:val="24"/>
              </w:rPr>
            </w:pPr>
            <w:r>
              <w:rPr>
                <w:rFonts w:ascii="Times New Roman" w:hAnsi="Times New Roman" w:cs="Times New Roman"/>
                <w:sz w:val="24"/>
                <w:szCs w:val="24"/>
              </w:rPr>
              <w:t xml:space="preserve">For Outcome 6 (CHES Competencies), </w:t>
            </w:r>
            <w:r w:rsidR="00EF7EFA">
              <w:rPr>
                <w:rFonts w:ascii="Times New Roman" w:hAnsi="Times New Roman" w:cs="Times New Roman"/>
                <w:sz w:val="24"/>
                <w:szCs w:val="24"/>
              </w:rPr>
              <w:t xml:space="preserve">out of 35 students, 35 (100%) completed the CHES competencies assessment to determine their level of competence with each of the seven Areas of Responsibility of a Health </w:t>
            </w:r>
            <w:r w:rsidR="001E7A41">
              <w:rPr>
                <w:rFonts w:ascii="Times New Roman" w:hAnsi="Times New Roman" w:cs="Times New Roman"/>
                <w:sz w:val="24"/>
                <w:szCs w:val="24"/>
              </w:rPr>
              <w:t>Education Specialist</w:t>
            </w:r>
            <w:r w:rsidR="00EF7EFA">
              <w:rPr>
                <w:rFonts w:ascii="Times New Roman" w:hAnsi="Times New Roman" w:cs="Times New Roman"/>
                <w:sz w:val="24"/>
                <w:szCs w:val="24"/>
              </w:rPr>
              <w:t xml:space="preserve">.  In general, </w:t>
            </w:r>
            <w:r w:rsidR="005D639E">
              <w:rPr>
                <w:rFonts w:ascii="Times New Roman" w:hAnsi="Times New Roman" w:cs="Times New Roman"/>
                <w:sz w:val="24"/>
                <w:szCs w:val="24"/>
              </w:rPr>
              <w:t>students rated below the entry level</w:t>
            </w:r>
            <w:r w:rsidR="008D5C64">
              <w:rPr>
                <w:rFonts w:ascii="Times New Roman" w:hAnsi="Times New Roman" w:cs="Times New Roman"/>
                <w:sz w:val="24"/>
                <w:szCs w:val="24"/>
              </w:rPr>
              <w:t xml:space="preserve"> (score of 3 or lower on a scale from 1-5)</w:t>
            </w:r>
            <w:r w:rsidR="005D639E">
              <w:rPr>
                <w:rFonts w:ascii="Times New Roman" w:hAnsi="Times New Roman" w:cs="Times New Roman"/>
                <w:sz w:val="24"/>
                <w:szCs w:val="24"/>
              </w:rPr>
              <w:t xml:space="preserve">, which was expected </w:t>
            </w:r>
            <w:r w:rsidR="008D5C64">
              <w:rPr>
                <w:rFonts w:ascii="Times New Roman" w:hAnsi="Times New Roman" w:cs="Times New Roman"/>
                <w:sz w:val="24"/>
                <w:szCs w:val="24"/>
              </w:rPr>
              <w:t>as</w:t>
            </w:r>
            <w:r w:rsidR="005D639E">
              <w:rPr>
                <w:rFonts w:ascii="Times New Roman" w:hAnsi="Times New Roman" w:cs="Times New Roman"/>
                <w:sz w:val="24"/>
                <w:szCs w:val="24"/>
              </w:rPr>
              <w:t xml:space="preserve"> this </w:t>
            </w:r>
            <w:r w:rsidR="008D5C64">
              <w:rPr>
                <w:rFonts w:ascii="Times New Roman" w:hAnsi="Times New Roman" w:cs="Times New Roman"/>
                <w:sz w:val="24"/>
                <w:szCs w:val="24"/>
              </w:rPr>
              <w:t>is</w:t>
            </w:r>
            <w:r w:rsidR="005D639E">
              <w:rPr>
                <w:rFonts w:ascii="Times New Roman" w:hAnsi="Times New Roman" w:cs="Times New Roman"/>
                <w:sz w:val="24"/>
                <w:szCs w:val="24"/>
              </w:rPr>
              <w:t xml:space="preserve"> an introductory course.  </w:t>
            </w:r>
            <w:r w:rsidR="000B6699">
              <w:rPr>
                <w:rFonts w:ascii="Times New Roman" w:hAnsi="Times New Roman" w:cs="Times New Roman"/>
                <w:sz w:val="24"/>
                <w:szCs w:val="24"/>
              </w:rPr>
              <w:t xml:space="preserve">The faculty will continue to use these findings to prepare students for their culminating experience course. </w:t>
            </w: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8D5C64" w:rsidP="005B5BA2">
            <w:pPr>
              <w:rPr>
                <w:rFonts w:ascii="Times New Roman" w:hAnsi="Times New Roman" w:cs="Times New Roman"/>
                <w:sz w:val="24"/>
                <w:szCs w:val="24"/>
              </w:rPr>
            </w:pPr>
            <w:r>
              <w:rPr>
                <w:rFonts w:ascii="Times New Roman" w:hAnsi="Times New Roman" w:cs="Times New Roman"/>
                <w:sz w:val="24"/>
                <w:szCs w:val="24"/>
              </w:rPr>
              <w:t xml:space="preserve">For Outcome 4 (Effective Communication), the faculty met to discuss the low scores earned on the rubric and determined that </w:t>
            </w:r>
            <w:r w:rsidR="0055402E">
              <w:rPr>
                <w:rFonts w:ascii="Times New Roman" w:hAnsi="Times New Roman" w:cs="Times New Roman"/>
                <w:sz w:val="24"/>
                <w:szCs w:val="24"/>
              </w:rPr>
              <w:t xml:space="preserve">the use of writing resources needs to be further encouraged in the course.  Although the instructor already encourages the use of the writing center on campus, they will also consider posting online resources to assist in reducing the number of grammar and spelling errors that occur in the papers.  Additionally, </w:t>
            </w:r>
            <w:r w:rsidR="00367A38">
              <w:rPr>
                <w:rFonts w:ascii="Times New Roman" w:hAnsi="Times New Roman" w:cs="Times New Roman"/>
                <w:sz w:val="24"/>
                <w:szCs w:val="24"/>
              </w:rPr>
              <w:t xml:space="preserve">the instructor will provide an </w:t>
            </w:r>
            <w:r w:rsidR="0055402E">
              <w:rPr>
                <w:rFonts w:ascii="Times New Roman" w:hAnsi="Times New Roman" w:cs="Times New Roman"/>
                <w:sz w:val="24"/>
                <w:szCs w:val="24"/>
              </w:rPr>
              <w:t>a</w:t>
            </w:r>
            <w:r w:rsidR="00367A38">
              <w:rPr>
                <w:rFonts w:ascii="Times New Roman" w:hAnsi="Times New Roman" w:cs="Times New Roman"/>
                <w:sz w:val="24"/>
                <w:szCs w:val="24"/>
              </w:rPr>
              <w:t>dditional</w:t>
            </w:r>
            <w:r w:rsidR="0055402E">
              <w:rPr>
                <w:rFonts w:ascii="Times New Roman" w:hAnsi="Times New Roman" w:cs="Times New Roman"/>
                <w:sz w:val="24"/>
                <w:szCs w:val="24"/>
              </w:rPr>
              <w:t xml:space="preserve"> </w:t>
            </w:r>
            <w:r w:rsidR="00367A38">
              <w:rPr>
                <w:rFonts w:ascii="Times New Roman" w:hAnsi="Times New Roman" w:cs="Times New Roman"/>
                <w:sz w:val="24"/>
                <w:szCs w:val="24"/>
              </w:rPr>
              <w:t>review</w:t>
            </w:r>
            <w:r w:rsidR="0055402E">
              <w:rPr>
                <w:rFonts w:ascii="Times New Roman" w:hAnsi="Times New Roman" w:cs="Times New Roman"/>
                <w:sz w:val="24"/>
                <w:szCs w:val="24"/>
              </w:rPr>
              <w:t xml:space="preserve"> </w:t>
            </w:r>
            <w:r w:rsidR="00367A38">
              <w:rPr>
                <w:rFonts w:ascii="Times New Roman" w:hAnsi="Times New Roman" w:cs="Times New Roman"/>
                <w:sz w:val="24"/>
                <w:szCs w:val="24"/>
              </w:rPr>
              <w:t>process</w:t>
            </w:r>
            <w:r w:rsidR="0055402E">
              <w:rPr>
                <w:rFonts w:ascii="Times New Roman" w:hAnsi="Times New Roman" w:cs="Times New Roman"/>
                <w:sz w:val="24"/>
                <w:szCs w:val="24"/>
              </w:rPr>
              <w:t xml:space="preserve"> </w:t>
            </w:r>
            <w:r w:rsidR="00367A38">
              <w:rPr>
                <w:rFonts w:ascii="Times New Roman" w:hAnsi="Times New Roman" w:cs="Times New Roman"/>
                <w:sz w:val="24"/>
                <w:szCs w:val="24"/>
              </w:rPr>
              <w:t xml:space="preserve">in an effort to provide students with continuous feedback throughout the </w:t>
            </w:r>
            <w:r w:rsidR="001E7A41">
              <w:rPr>
                <w:rFonts w:ascii="Times New Roman" w:hAnsi="Times New Roman" w:cs="Times New Roman"/>
                <w:sz w:val="24"/>
                <w:szCs w:val="24"/>
              </w:rPr>
              <w:t>writing process.</w:t>
            </w:r>
          </w:p>
          <w:p w:rsidR="001E7A41" w:rsidRDefault="001E7A41" w:rsidP="005B5BA2">
            <w:pPr>
              <w:rPr>
                <w:rFonts w:ascii="Times New Roman" w:hAnsi="Times New Roman" w:cs="Times New Roman"/>
                <w:b/>
                <w:sz w:val="24"/>
                <w:szCs w:val="24"/>
              </w:rPr>
            </w:pPr>
          </w:p>
          <w:p w:rsidR="005B5BA2" w:rsidRPr="00367A38" w:rsidRDefault="00367A38" w:rsidP="005B5BA2">
            <w:pPr>
              <w:rPr>
                <w:rFonts w:ascii="Times New Roman" w:hAnsi="Times New Roman" w:cs="Times New Roman"/>
                <w:sz w:val="24"/>
                <w:szCs w:val="24"/>
              </w:rPr>
            </w:pPr>
            <w:r>
              <w:rPr>
                <w:rFonts w:ascii="Times New Roman" w:hAnsi="Times New Roman" w:cs="Times New Roman"/>
                <w:sz w:val="24"/>
                <w:szCs w:val="24"/>
              </w:rPr>
              <w:lastRenderedPageBreak/>
              <w:t xml:space="preserve">For Outcome 6 (CHES Competencies), the instructor reviewed the assessment document and integrated in-class activities for each of the seven Areas of Responsibility into the course.  These in-class activities were hands-on experiences designed to prepare students for their culminating </w:t>
            </w:r>
            <w:r w:rsidR="000B6699">
              <w:rPr>
                <w:rFonts w:ascii="Times New Roman" w:hAnsi="Times New Roman" w:cs="Times New Roman"/>
                <w:sz w:val="24"/>
                <w:szCs w:val="24"/>
              </w:rPr>
              <w:t>course</w:t>
            </w:r>
            <w:r>
              <w:rPr>
                <w:rFonts w:ascii="Times New Roman" w:hAnsi="Times New Roman" w:cs="Times New Roman"/>
                <w:sz w:val="24"/>
                <w:szCs w:val="24"/>
              </w:rPr>
              <w:t xml:space="preserve">.  For instance, one of the activities consisted of the students creating a “mock evaluation” in an effort to learn the skills involved in evaluating a health education program.  </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C257C7" w:rsidRDefault="00C257C7" w:rsidP="00367A38">
            <w:pPr>
              <w:rPr>
                <w:rFonts w:ascii="Times New Roman" w:hAnsi="Times New Roman" w:cs="Times New Roman"/>
                <w:sz w:val="24"/>
                <w:szCs w:val="24"/>
              </w:rPr>
            </w:pPr>
            <w:r>
              <w:rPr>
                <w:rFonts w:ascii="Times New Roman" w:hAnsi="Times New Roman" w:cs="Times New Roman"/>
                <w:sz w:val="24"/>
                <w:szCs w:val="24"/>
              </w:rPr>
              <w:t xml:space="preserve">The faculty will revise the assessment activities listed in the department SOAP for the 2017-2018 to include one direct and one indirect measure.  </w:t>
            </w:r>
          </w:p>
          <w:p w:rsidR="00C257C7" w:rsidRPr="00C257C7" w:rsidRDefault="00C257C7" w:rsidP="00367A38">
            <w:pPr>
              <w:rPr>
                <w:rFonts w:ascii="Times New Roman" w:hAnsi="Times New Roman" w:cs="Times New Roman"/>
                <w:sz w:val="24"/>
                <w:szCs w:val="24"/>
              </w:rPr>
            </w:pPr>
          </w:p>
          <w:p w:rsidR="00C257C7" w:rsidRPr="00C257C7" w:rsidRDefault="00C257C7" w:rsidP="00367A38">
            <w:pPr>
              <w:rPr>
                <w:rFonts w:ascii="Times New Roman" w:hAnsi="Times New Roman" w:cs="Times New Roman"/>
                <w:b/>
                <w:sz w:val="24"/>
                <w:szCs w:val="24"/>
                <w:u w:val="single"/>
              </w:rPr>
            </w:pPr>
            <w:r>
              <w:rPr>
                <w:rFonts w:ascii="Times New Roman" w:hAnsi="Times New Roman" w:cs="Times New Roman"/>
                <w:b/>
                <w:sz w:val="24"/>
                <w:szCs w:val="24"/>
                <w:u w:val="single"/>
              </w:rPr>
              <w:t>Direct Measure</w:t>
            </w:r>
          </w:p>
          <w:p w:rsidR="0044009B" w:rsidRDefault="0071760B" w:rsidP="00367A38">
            <w:pPr>
              <w:rPr>
                <w:rFonts w:ascii="Times New Roman" w:hAnsi="Times New Roman" w:cs="Times New Roman"/>
                <w:sz w:val="24"/>
                <w:szCs w:val="24"/>
              </w:rPr>
            </w:pPr>
            <w:r w:rsidRPr="0071760B">
              <w:rPr>
                <w:rFonts w:ascii="Times New Roman" w:hAnsi="Times New Roman" w:cs="Times New Roman"/>
                <w:b/>
                <w:sz w:val="24"/>
                <w:szCs w:val="24"/>
              </w:rPr>
              <w:t xml:space="preserve">Outcome </w:t>
            </w:r>
            <w:r w:rsidR="00C257C7">
              <w:rPr>
                <w:rFonts w:ascii="Times New Roman" w:hAnsi="Times New Roman" w:cs="Times New Roman"/>
                <w:b/>
                <w:sz w:val="24"/>
                <w:szCs w:val="24"/>
              </w:rPr>
              <w:t>2</w:t>
            </w:r>
            <w:r w:rsidRPr="0071760B">
              <w:rPr>
                <w:rFonts w:ascii="Times New Roman" w:hAnsi="Times New Roman" w:cs="Times New Roman"/>
                <w:b/>
                <w:sz w:val="24"/>
                <w:szCs w:val="24"/>
              </w:rPr>
              <w:t xml:space="preserve"> (</w:t>
            </w:r>
            <w:r w:rsidR="00C257C7">
              <w:rPr>
                <w:rFonts w:ascii="Times New Roman" w:hAnsi="Times New Roman" w:cs="Times New Roman"/>
                <w:b/>
                <w:sz w:val="24"/>
                <w:szCs w:val="24"/>
              </w:rPr>
              <w:t>Problem Solving</w:t>
            </w:r>
            <w:r w:rsidRPr="0071760B">
              <w:rPr>
                <w:rFonts w:ascii="Times New Roman" w:hAnsi="Times New Roman" w:cs="Times New Roman"/>
                <w:b/>
                <w:sz w:val="24"/>
                <w:szCs w:val="24"/>
              </w:rPr>
              <w:t>):</w:t>
            </w:r>
            <w:r>
              <w:rPr>
                <w:rFonts w:ascii="Times New Roman" w:hAnsi="Times New Roman" w:cs="Times New Roman"/>
                <w:sz w:val="24"/>
                <w:szCs w:val="24"/>
              </w:rPr>
              <w:t xml:space="preserve">  Graduates will be able </w:t>
            </w:r>
            <w:r w:rsidR="00C257C7">
              <w:rPr>
                <w:rFonts w:ascii="Times New Roman" w:hAnsi="Times New Roman" w:cs="Times New Roman"/>
                <w:sz w:val="24"/>
                <w:szCs w:val="24"/>
              </w:rPr>
              <w:t xml:space="preserve">solve problems by generating multiple solutions and selecting those most appropriate to meet the needs of any relevant public health crisis/problem. </w:t>
            </w:r>
          </w:p>
          <w:p w:rsidR="0071760B" w:rsidRDefault="0071760B" w:rsidP="00367A38">
            <w:pPr>
              <w:rPr>
                <w:rFonts w:ascii="Times New Roman" w:hAnsi="Times New Roman" w:cs="Times New Roman"/>
                <w:sz w:val="24"/>
                <w:szCs w:val="24"/>
              </w:rPr>
            </w:pPr>
            <w:r w:rsidRPr="00504D0E">
              <w:rPr>
                <w:rFonts w:ascii="Times New Roman" w:hAnsi="Times New Roman" w:cs="Times New Roman"/>
                <w:b/>
                <w:sz w:val="24"/>
                <w:szCs w:val="24"/>
              </w:rPr>
              <w:t>Measures or assessment activities:</w:t>
            </w:r>
            <w:r>
              <w:rPr>
                <w:rFonts w:ascii="Times New Roman" w:hAnsi="Times New Roman" w:cs="Times New Roman"/>
                <w:sz w:val="24"/>
                <w:szCs w:val="24"/>
              </w:rPr>
              <w:t xml:space="preserve">  </w:t>
            </w:r>
            <w:r w:rsidR="006D4501">
              <w:rPr>
                <w:rFonts w:ascii="Times New Roman" w:hAnsi="Times New Roman" w:cs="Times New Roman"/>
                <w:sz w:val="24"/>
                <w:szCs w:val="24"/>
              </w:rPr>
              <w:t xml:space="preserve">A case study assignment.  </w:t>
            </w:r>
            <w:r w:rsidR="00504D0E">
              <w:rPr>
                <w:rFonts w:ascii="Times New Roman" w:hAnsi="Times New Roman" w:cs="Times New Roman"/>
                <w:sz w:val="24"/>
                <w:szCs w:val="24"/>
              </w:rPr>
              <w:t xml:space="preserve">At </w:t>
            </w:r>
            <w:r>
              <w:rPr>
                <w:rFonts w:ascii="Times New Roman" w:hAnsi="Times New Roman" w:cs="Times New Roman"/>
                <w:sz w:val="24"/>
                <w:szCs w:val="24"/>
              </w:rPr>
              <w:t xml:space="preserve">least 80% of students </w:t>
            </w:r>
            <w:r w:rsidR="00504D0E">
              <w:rPr>
                <w:rFonts w:ascii="Times New Roman" w:hAnsi="Times New Roman" w:cs="Times New Roman"/>
                <w:sz w:val="24"/>
                <w:szCs w:val="24"/>
              </w:rPr>
              <w:t>will</w:t>
            </w:r>
            <w:r>
              <w:rPr>
                <w:rFonts w:ascii="Times New Roman" w:hAnsi="Times New Roman" w:cs="Times New Roman"/>
                <w:sz w:val="24"/>
                <w:szCs w:val="24"/>
              </w:rPr>
              <w:t xml:space="preserve"> achieve a score of 3 or above on the rubric.      </w:t>
            </w:r>
          </w:p>
          <w:p w:rsidR="0071760B" w:rsidRDefault="0071760B" w:rsidP="00367A38">
            <w:pPr>
              <w:rPr>
                <w:rFonts w:ascii="Times New Roman" w:hAnsi="Times New Roman" w:cs="Times New Roman"/>
                <w:sz w:val="24"/>
                <w:szCs w:val="24"/>
              </w:rPr>
            </w:pPr>
          </w:p>
          <w:p w:rsidR="006D4501" w:rsidRPr="006D4501" w:rsidRDefault="006D4501" w:rsidP="00367A38">
            <w:pPr>
              <w:rPr>
                <w:rFonts w:ascii="Times New Roman" w:hAnsi="Times New Roman" w:cs="Times New Roman"/>
                <w:b/>
                <w:sz w:val="24"/>
                <w:szCs w:val="24"/>
                <w:u w:val="single"/>
              </w:rPr>
            </w:pPr>
            <w:r w:rsidRPr="006D4501">
              <w:rPr>
                <w:rFonts w:ascii="Times New Roman" w:hAnsi="Times New Roman" w:cs="Times New Roman"/>
                <w:b/>
                <w:sz w:val="24"/>
                <w:szCs w:val="24"/>
                <w:u w:val="single"/>
              </w:rPr>
              <w:t>Indirect Measure</w:t>
            </w:r>
          </w:p>
          <w:p w:rsidR="0071760B" w:rsidRDefault="006D4501" w:rsidP="00367A38">
            <w:pPr>
              <w:rPr>
                <w:rFonts w:ascii="Times New Roman" w:hAnsi="Times New Roman" w:cs="Times New Roman"/>
                <w:sz w:val="24"/>
                <w:szCs w:val="24"/>
              </w:rPr>
            </w:pPr>
            <w:r>
              <w:rPr>
                <w:rFonts w:ascii="Times New Roman" w:hAnsi="Times New Roman" w:cs="Times New Roman"/>
                <w:b/>
                <w:sz w:val="24"/>
                <w:szCs w:val="24"/>
              </w:rPr>
              <w:t>Exit Survey:</w:t>
            </w:r>
            <w:r w:rsidR="0071760B">
              <w:rPr>
                <w:rFonts w:ascii="Times New Roman" w:hAnsi="Times New Roman" w:cs="Times New Roman"/>
                <w:sz w:val="24"/>
                <w:szCs w:val="24"/>
              </w:rPr>
              <w:t xml:space="preserve">  </w:t>
            </w:r>
            <w:r>
              <w:rPr>
                <w:rFonts w:ascii="Times New Roman" w:hAnsi="Times New Roman" w:cs="Times New Roman"/>
                <w:sz w:val="24"/>
                <w:szCs w:val="24"/>
              </w:rPr>
              <w:t xml:space="preserve">Graduates will complete a survey in their final semester. </w:t>
            </w:r>
          </w:p>
          <w:p w:rsidR="0044009B" w:rsidRPr="0044009B" w:rsidRDefault="0044009B" w:rsidP="006D4501">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1B1E7A" w:rsidRPr="001B1E7A" w:rsidRDefault="001B1E7A" w:rsidP="001B1E7A">
            <w:pPr>
              <w:rPr>
                <w:rFonts w:ascii="Times New Roman" w:eastAsia="Times New Roman" w:hAnsi="Times New Roman" w:cs="Times New Roman"/>
                <w:sz w:val="24"/>
                <w:szCs w:val="24"/>
              </w:rPr>
            </w:pPr>
            <w:r w:rsidRPr="001B1E7A">
              <w:rPr>
                <w:rFonts w:ascii="Times New Roman" w:eastAsia="Times New Roman" w:hAnsi="Times New Roman" w:cs="Times New Roman"/>
                <w:sz w:val="24"/>
                <w:szCs w:val="24"/>
              </w:rPr>
              <w:t xml:space="preserve">The program review team made recommendations pertaining to 7 items.  </w:t>
            </w:r>
            <w:r>
              <w:rPr>
                <w:rFonts w:ascii="Times New Roman" w:eastAsia="Times New Roman" w:hAnsi="Times New Roman" w:cs="Times New Roman"/>
                <w:sz w:val="24"/>
                <w:szCs w:val="24"/>
              </w:rPr>
              <w:t xml:space="preserve">Below, is progress made on each of these items:  </w:t>
            </w:r>
          </w:p>
          <w:p w:rsidR="001B1E7A" w:rsidRPr="001B1E7A" w:rsidRDefault="001B1E7A" w:rsidP="001B1E7A">
            <w:pPr>
              <w:rPr>
                <w:rFonts w:ascii="Times New Roman" w:eastAsia="Times New Roman" w:hAnsi="Times New Roman" w:cs="Times New Roman"/>
                <w:sz w:val="24"/>
                <w:szCs w:val="24"/>
              </w:rPr>
            </w:pPr>
          </w:p>
          <w:p w:rsidR="001B1E7A" w:rsidRPr="001B1E7A" w:rsidRDefault="001B1E7A" w:rsidP="001B1E7A">
            <w:pPr>
              <w:rPr>
                <w:rFonts w:ascii="Times New Roman" w:eastAsia="Times New Roman" w:hAnsi="Times New Roman" w:cs="Times New Roman"/>
                <w:b/>
                <w:sz w:val="24"/>
                <w:szCs w:val="24"/>
              </w:rPr>
            </w:pPr>
            <w:r w:rsidRPr="001B1E7A">
              <w:rPr>
                <w:rFonts w:ascii="Times New Roman" w:eastAsia="Times New Roman" w:hAnsi="Times New Roman" w:cs="Times New Roman"/>
                <w:b/>
                <w:sz w:val="24"/>
                <w:szCs w:val="24"/>
              </w:rPr>
              <w:t>Item #1 (Curriculum)</w:t>
            </w:r>
          </w:p>
          <w:p w:rsidR="001B1E7A" w:rsidRPr="001B1E7A" w:rsidRDefault="001B1E7A" w:rsidP="001B1E7A">
            <w:pPr>
              <w:rPr>
                <w:rFonts w:ascii="Times New Roman" w:eastAsia="Times New Roman" w:hAnsi="Times New Roman" w:cs="Times New Roman"/>
                <w:sz w:val="24"/>
                <w:szCs w:val="24"/>
              </w:rPr>
            </w:pPr>
          </w:p>
          <w:p w:rsidR="001B1E7A" w:rsidRPr="001B1E7A" w:rsidRDefault="001B1E7A" w:rsidP="001B1E7A">
            <w:pPr>
              <w:spacing w:before="120"/>
              <w:rPr>
                <w:rFonts w:ascii="Times New Roman" w:hAnsi="Times New Roman" w:cs="Times New Roman"/>
                <w:b/>
                <w:sz w:val="24"/>
                <w:szCs w:val="24"/>
              </w:rPr>
            </w:pPr>
            <w:r w:rsidRPr="001B1E7A">
              <w:rPr>
                <w:rFonts w:ascii="Times New Roman" w:eastAsia="Times New Roman" w:hAnsi="Times New Roman" w:cs="Times New Roman"/>
                <w:b/>
                <w:sz w:val="24"/>
                <w:szCs w:val="24"/>
              </w:rPr>
              <w:t>Recommendations:</w:t>
            </w:r>
          </w:p>
          <w:p w:rsidR="001B1E7A" w:rsidRPr="001B1E7A" w:rsidRDefault="001B1E7A" w:rsidP="001B1E7A">
            <w:pPr>
              <w:numPr>
                <w:ilvl w:val="0"/>
                <w:numId w:val="4"/>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department should consider growing the number of online courses and internship orientations as a way to meet student needs and reduce straining existing facility and budget constraints.</w:t>
            </w:r>
          </w:p>
          <w:p w:rsidR="001B1E7A" w:rsidRPr="001B1E7A" w:rsidRDefault="001B1E7A" w:rsidP="001B1E7A">
            <w:pPr>
              <w:numPr>
                <w:ilvl w:val="0"/>
                <w:numId w:val="4"/>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dean and department should explore solutions to the department's longer-term needs for lab space to support EOHS instruction and the two planned new faculty hires in this option.</w:t>
            </w:r>
          </w:p>
          <w:p w:rsidR="001B1E7A" w:rsidRPr="001B1E7A" w:rsidRDefault="001B1E7A" w:rsidP="001B1E7A">
            <w:pPr>
              <w:numPr>
                <w:ilvl w:val="0"/>
                <w:numId w:val="4"/>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lastRenderedPageBreak/>
              <w:t xml:space="preserve">The department should consider delaying plans to seek CEPH accreditation for the community health and health care administration options until EOHS space, equipment, and faculty needs </w:t>
            </w:r>
            <w:proofErr w:type="gramStart"/>
            <w:r w:rsidRPr="001B1E7A">
              <w:rPr>
                <w:rFonts w:ascii="Times New Roman" w:eastAsiaTheme="minorEastAsia" w:hAnsi="Times New Roman" w:cs="Times New Roman"/>
                <w:sz w:val="24"/>
                <w:szCs w:val="24"/>
              </w:rPr>
              <w:t>are strengthened</w:t>
            </w:r>
            <w:proofErr w:type="gramEnd"/>
            <w:r w:rsidRPr="001B1E7A">
              <w:rPr>
                <w:rFonts w:ascii="Times New Roman" w:eastAsiaTheme="minorEastAsia" w:hAnsi="Times New Roman" w:cs="Times New Roman"/>
                <w:sz w:val="24"/>
                <w:szCs w:val="24"/>
              </w:rPr>
              <w:t>.</w:t>
            </w:r>
          </w:p>
          <w:p w:rsidR="001B1E7A" w:rsidRPr="001B1E7A" w:rsidRDefault="001B1E7A" w:rsidP="001B1E7A">
            <w:pPr>
              <w:rPr>
                <w:rFonts w:ascii="Times New Roman" w:eastAsia="Times New Roman" w:hAnsi="Times New Roman" w:cs="Times New Roman"/>
                <w:sz w:val="24"/>
                <w:szCs w:val="24"/>
              </w:rPr>
            </w:pPr>
          </w:p>
          <w:p w:rsidR="001B1E7A" w:rsidRPr="001B1E7A" w:rsidRDefault="001B1E7A" w:rsidP="001B1E7A">
            <w:pPr>
              <w:rPr>
                <w:rFonts w:ascii="Times New Roman" w:hAnsi="Times New Roman" w:cs="Times New Roman"/>
                <w:sz w:val="24"/>
                <w:szCs w:val="24"/>
              </w:rPr>
            </w:pPr>
            <w:r w:rsidRPr="001B1E7A">
              <w:rPr>
                <w:rFonts w:ascii="Times New Roman" w:eastAsia="Times New Roman" w:hAnsi="Times New Roman" w:cs="Times New Roman"/>
                <w:b/>
                <w:sz w:val="24"/>
                <w:szCs w:val="24"/>
              </w:rPr>
              <w:t>Progress to Date:</w:t>
            </w:r>
            <w:r w:rsidRPr="001B1E7A">
              <w:rPr>
                <w:rFonts w:ascii="Times New Roman" w:eastAsia="Times New Roman" w:hAnsi="Times New Roman" w:cs="Times New Roman"/>
                <w:sz w:val="24"/>
                <w:szCs w:val="24"/>
              </w:rPr>
              <w:t xml:space="preserve"> </w:t>
            </w:r>
          </w:p>
          <w:p w:rsidR="001B1E7A" w:rsidRPr="001B1E7A" w:rsidRDefault="001B1E7A" w:rsidP="001B1E7A">
            <w:pPr>
              <w:rPr>
                <w:rFonts w:ascii="Times New Roman" w:hAnsi="Times New Roman" w:cs="Times New Roman"/>
                <w:sz w:val="24"/>
                <w:szCs w:val="24"/>
              </w:rPr>
            </w:pPr>
            <w:r w:rsidRPr="001B1E7A">
              <w:rPr>
                <w:rFonts w:ascii="Times New Roman" w:hAnsi="Times New Roman" w:cs="Times New Roman"/>
                <w:sz w:val="24"/>
                <w:szCs w:val="24"/>
              </w:rPr>
              <w:t>The department has explored growing courses through online and hybrid modalities.  Some faculty have participated in TILT and CSALT courses</w:t>
            </w:r>
            <w:r>
              <w:rPr>
                <w:rFonts w:ascii="Times New Roman" w:hAnsi="Times New Roman" w:cs="Times New Roman"/>
                <w:sz w:val="24"/>
                <w:szCs w:val="24"/>
              </w:rPr>
              <w:t xml:space="preserve"> to deliver online courses.  </w:t>
            </w:r>
            <w:r w:rsidR="00FE66A6">
              <w:rPr>
                <w:rFonts w:ascii="Times New Roman" w:hAnsi="Times New Roman" w:cs="Times New Roman"/>
                <w:sz w:val="24"/>
                <w:szCs w:val="24"/>
              </w:rPr>
              <w:t xml:space="preserve">Currently, our department is sharing a laboratory space with the </w:t>
            </w:r>
            <w:r w:rsidR="00435AFD">
              <w:rPr>
                <w:rFonts w:ascii="Times New Roman" w:hAnsi="Times New Roman" w:cs="Times New Roman"/>
                <w:sz w:val="24"/>
                <w:szCs w:val="24"/>
              </w:rPr>
              <w:t>Department</w:t>
            </w:r>
            <w:r w:rsidR="00FE66A6">
              <w:rPr>
                <w:rFonts w:ascii="Times New Roman" w:hAnsi="Times New Roman" w:cs="Times New Roman"/>
                <w:sz w:val="24"/>
                <w:szCs w:val="24"/>
              </w:rPr>
              <w:t xml:space="preserve"> of Earth and Environmental Health, which is supporting the instructional needs of the EOHS option at this time.  However, the CHHS Dean has supported the renovation of a permanent laboratory space for this option.  A new faculty member joined the EOHS option this academic year, and a search for one additional faculty member for this option is underway for the 2017-2018 academic year.  </w:t>
            </w:r>
            <w:r w:rsidRPr="001B1E7A">
              <w:rPr>
                <w:rFonts w:ascii="Times New Roman" w:hAnsi="Times New Roman" w:cs="Times New Roman"/>
                <w:sz w:val="24"/>
                <w:szCs w:val="24"/>
              </w:rPr>
              <w:t xml:space="preserve">While the community health and health care administration options plan to seek CEPH accreditation, stabilizing the existing EOHS/REHS program will remain a first priority. </w:t>
            </w:r>
          </w:p>
          <w:p w:rsidR="001B1E7A" w:rsidRDefault="001B1E7A" w:rsidP="001B1E7A">
            <w:pPr>
              <w:rPr>
                <w:rFonts w:ascii="Times New Roman" w:hAnsi="Times New Roman" w:cs="Times New Roman"/>
                <w:b/>
                <w:sz w:val="24"/>
                <w:szCs w:val="24"/>
              </w:rPr>
            </w:pPr>
          </w:p>
          <w:p w:rsid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Item #2 (Assessment)</w:t>
            </w:r>
          </w:p>
          <w:p w:rsidR="006112CD" w:rsidRPr="001B1E7A" w:rsidRDefault="006112CD" w:rsidP="001B1E7A">
            <w:pPr>
              <w:rPr>
                <w:rFonts w:ascii="Times New Roman" w:hAnsi="Times New Roman" w:cs="Times New Roman"/>
                <w:b/>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 xml:space="preserve">Recommendations:  </w:t>
            </w:r>
          </w:p>
          <w:p w:rsidR="001B1E7A" w:rsidRPr="001B1E7A" w:rsidRDefault="001B1E7A" w:rsidP="001B1E7A">
            <w:pPr>
              <w:numPr>
                <w:ilvl w:val="0"/>
                <w:numId w:val="5"/>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 xml:space="preserve">The department should continue to build upon the spring </w:t>
            </w:r>
            <w:proofErr w:type="gramStart"/>
            <w:r w:rsidRPr="001B1E7A">
              <w:rPr>
                <w:rFonts w:ascii="Times New Roman" w:eastAsiaTheme="minorEastAsia" w:hAnsi="Times New Roman"/>
                <w:sz w:val="24"/>
                <w:szCs w:val="24"/>
              </w:rPr>
              <w:t>2015 assessment</w:t>
            </w:r>
            <w:proofErr w:type="gramEnd"/>
            <w:r w:rsidRPr="001B1E7A">
              <w:rPr>
                <w:rFonts w:ascii="Times New Roman" w:eastAsiaTheme="minorEastAsia" w:hAnsi="Times New Roman"/>
                <w:sz w:val="24"/>
                <w:szCs w:val="24"/>
              </w:rPr>
              <w:t xml:space="preserve"> activities based on the GE course PH 90.</w:t>
            </w:r>
          </w:p>
          <w:p w:rsidR="001B1E7A" w:rsidRPr="001B1E7A" w:rsidRDefault="001B1E7A" w:rsidP="001B1E7A">
            <w:pPr>
              <w:numPr>
                <w:ilvl w:val="0"/>
                <w:numId w:val="5"/>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department should recommence the full SOAP implementation focusing on courses to identify gaps in current curriculum and inform program improvement.</w:t>
            </w:r>
          </w:p>
          <w:p w:rsidR="001B1E7A" w:rsidRPr="001B1E7A" w:rsidRDefault="001B1E7A" w:rsidP="001B1E7A">
            <w:pPr>
              <w:numPr>
                <w:ilvl w:val="0"/>
                <w:numId w:val="5"/>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dean should provide assigned time for the department assessment coordinator to aid the department in implementing its’ SOAP and provide more timely reports.</w:t>
            </w:r>
          </w:p>
          <w:p w:rsidR="001B1E7A" w:rsidRPr="001B1E7A" w:rsidRDefault="001B1E7A" w:rsidP="001B1E7A">
            <w:pPr>
              <w:spacing w:before="120"/>
              <w:rPr>
                <w:rFonts w:ascii="Times New Roman" w:hAnsi="Times New Roman" w:cs="Times New Roman"/>
                <w:b/>
                <w:sz w:val="24"/>
                <w:szCs w:val="24"/>
              </w:rPr>
            </w:pPr>
            <w:r w:rsidRPr="001B1E7A">
              <w:rPr>
                <w:rFonts w:ascii="Times New Roman" w:hAnsi="Times New Roman" w:cs="Times New Roman"/>
                <w:b/>
                <w:sz w:val="24"/>
                <w:szCs w:val="24"/>
              </w:rPr>
              <w:t xml:space="preserve">Progress to Date: </w:t>
            </w:r>
          </w:p>
          <w:p w:rsidR="001B1E7A" w:rsidRDefault="00FE66A6" w:rsidP="001B1E7A">
            <w:pPr>
              <w:rPr>
                <w:rFonts w:ascii="Times New Roman" w:hAnsi="Times New Roman" w:cs="Times New Roman"/>
                <w:sz w:val="24"/>
                <w:szCs w:val="24"/>
              </w:rPr>
            </w:pPr>
            <w:r>
              <w:rPr>
                <w:rFonts w:ascii="Times New Roman" w:hAnsi="Times New Roman" w:cs="Times New Roman"/>
                <w:sz w:val="24"/>
                <w:szCs w:val="24"/>
              </w:rPr>
              <w:t xml:space="preserve">The department now has a permanent chair, which will bring leadership stability to the department.  The department chair </w:t>
            </w:r>
            <w:r w:rsidR="001E7A41">
              <w:rPr>
                <w:rFonts w:ascii="Times New Roman" w:hAnsi="Times New Roman" w:cs="Times New Roman"/>
                <w:sz w:val="24"/>
                <w:szCs w:val="24"/>
              </w:rPr>
              <w:t>has met</w:t>
            </w:r>
            <w:r>
              <w:rPr>
                <w:rFonts w:ascii="Times New Roman" w:hAnsi="Times New Roman" w:cs="Times New Roman"/>
                <w:sz w:val="24"/>
                <w:szCs w:val="24"/>
              </w:rPr>
              <w:t xml:space="preserve"> with each option coordinator in the department to review the SOAP document, and to make any necessary changes.   </w:t>
            </w:r>
            <w:r w:rsidR="000B6699">
              <w:rPr>
                <w:rFonts w:ascii="Times New Roman" w:hAnsi="Times New Roman" w:cs="Times New Roman"/>
                <w:sz w:val="24"/>
                <w:szCs w:val="24"/>
              </w:rPr>
              <w:t>Additional</w:t>
            </w:r>
            <w:r w:rsidR="001B1E7A" w:rsidRPr="001B1E7A">
              <w:rPr>
                <w:rFonts w:ascii="Times New Roman" w:hAnsi="Times New Roman" w:cs="Times New Roman"/>
                <w:sz w:val="24"/>
                <w:szCs w:val="24"/>
              </w:rPr>
              <w:t xml:space="preserve"> departmental resources are </w:t>
            </w:r>
            <w:r w:rsidR="00C058C5">
              <w:rPr>
                <w:rFonts w:ascii="Times New Roman" w:hAnsi="Times New Roman" w:cs="Times New Roman"/>
                <w:sz w:val="24"/>
                <w:szCs w:val="24"/>
              </w:rPr>
              <w:t xml:space="preserve">still </w:t>
            </w:r>
            <w:r w:rsidR="001B1E7A" w:rsidRPr="001B1E7A">
              <w:rPr>
                <w:rFonts w:ascii="Times New Roman" w:hAnsi="Times New Roman" w:cs="Times New Roman"/>
                <w:sz w:val="24"/>
                <w:szCs w:val="24"/>
              </w:rPr>
              <w:t>needed</w:t>
            </w:r>
            <w:r w:rsidR="000B6699">
              <w:rPr>
                <w:rFonts w:ascii="Times New Roman" w:hAnsi="Times New Roman" w:cs="Times New Roman"/>
                <w:sz w:val="24"/>
                <w:szCs w:val="24"/>
              </w:rPr>
              <w:t>, however</w:t>
            </w:r>
            <w:proofErr w:type="gramStart"/>
            <w:r w:rsidR="000B6699">
              <w:rPr>
                <w:rFonts w:ascii="Times New Roman" w:hAnsi="Times New Roman" w:cs="Times New Roman"/>
                <w:sz w:val="24"/>
                <w:szCs w:val="24"/>
              </w:rPr>
              <w:t>;</w:t>
            </w:r>
            <w:proofErr w:type="gramEnd"/>
            <w:r w:rsidR="001B1E7A" w:rsidRPr="001B1E7A">
              <w:rPr>
                <w:rFonts w:ascii="Times New Roman" w:hAnsi="Times New Roman" w:cs="Times New Roman"/>
                <w:sz w:val="24"/>
                <w:szCs w:val="24"/>
              </w:rPr>
              <w:t xml:space="preserve"> for implementation of the SOAP assessment activities.  </w:t>
            </w:r>
          </w:p>
          <w:p w:rsidR="00FE66A6" w:rsidRPr="001B1E7A" w:rsidRDefault="00FE66A6" w:rsidP="001B1E7A">
            <w:pPr>
              <w:rPr>
                <w:rFonts w:ascii="Times New Roman" w:hAnsi="Times New Roman" w:cs="Times New Roman"/>
                <w:sz w:val="24"/>
                <w:szCs w:val="24"/>
              </w:rPr>
            </w:pPr>
          </w:p>
          <w:p w:rsid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Item #3 (Faculty Quality, Achievements, Needs, and Commitment to Program)</w:t>
            </w:r>
          </w:p>
          <w:p w:rsidR="006112CD" w:rsidRPr="001B1E7A" w:rsidRDefault="006112CD" w:rsidP="001B1E7A">
            <w:pPr>
              <w:rPr>
                <w:rFonts w:ascii="Times New Roman" w:hAnsi="Times New Roman" w:cs="Times New Roman"/>
                <w:b/>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1B1E7A" w:rsidRPr="001B1E7A" w:rsidRDefault="001B1E7A" w:rsidP="001B1E7A">
            <w:pPr>
              <w:numPr>
                <w:ilvl w:val="0"/>
                <w:numId w:val="6"/>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 xml:space="preserve">Increase university and college financial support (including research releases for all faculty, and increasing travel support) and mentorship (e.g., by expanding CSALT activities) for public health faculty who are engaged in these activities. </w:t>
            </w:r>
          </w:p>
          <w:p w:rsidR="001B1E7A" w:rsidRPr="001B1E7A" w:rsidRDefault="001B1E7A" w:rsidP="001B1E7A">
            <w:pPr>
              <w:numPr>
                <w:ilvl w:val="0"/>
                <w:numId w:val="6"/>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 xml:space="preserve">Ongoing mentorship and support for current and incoming junior faculty would be important to ensure they </w:t>
            </w:r>
            <w:proofErr w:type="gramStart"/>
            <w:r w:rsidRPr="001B1E7A">
              <w:rPr>
                <w:rFonts w:ascii="Times New Roman" w:eastAsiaTheme="minorEastAsia" w:hAnsi="Times New Roman"/>
                <w:sz w:val="24"/>
                <w:szCs w:val="24"/>
              </w:rPr>
              <w:t>are successfully retained</w:t>
            </w:r>
            <w:proofErr w:type="gramEnd"/>
            <w:r w:rsidRPr="001B1E7A">
              <w:rPr>
                <w:rFonts w:ascii="Times New Roman" w:eastAsiaTheme="minorEastAsia" w:hAnsi="Times New Roman"/>
                <w:sz w:val="24"/>
                <w:szCs w:val="24"/>
              </w:rPr>
              <w:t xml:space="preserve"> to provide ongoing leadership in key EOHS and other programmatic areas.</w:t>
            </w:r>
          </w:p>
          <w:p w:rsidR="001B1E7A" w:rsidRPr="001B1E7A" w:rsidRDefault="001B1E7A" w:rsidP="001B1E7A">
            <w:pPr>
              <w:spacing w:before="120"/>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1B1E7A" w:rsidRPr="001B1E7A" w:rsidRDefault="001B1E7A" w:rsidP="001B1E7A">
            <w:pPr>
              <w:rPr>
                <w:rFonts w:ascii="Times New Roman" w:hAnsi="Times New Roman" w:cs="Times New Roman"/>
                <w:sz w:val="24"/>
                <w:szCs w:val="24"/>
              </w:rPr>
            </w:pPr>
            <w:r w:rsidRPr="001B1E7A">
              <w:rPr>
                <w:rFonts w:ascii="Times New Roman" w:hAnsi="Times New Roman" w:cs="Times New Roman"/>
                <w:sz w:val="24"/>
                <w:szCs w:val="24"/>
              </w:rPr>
              <w:t xml:space="preserve">Some department faculty have participated in university and mentorship activities, including CSALT and TILT workshops.  Summer workshops have also provided additional professional development monies.  </w:t>
            </w:r>
          </w:p>
          <w:p w:rsidR="001B1E7A" w:rsidRPr="001B1E7A" w:rsidRDefault="001B1E7A" w:rsidP="001B1E7A">
            <w:pPr>
              <w:spacing w:before="120"/>
              <w:rPr>
                <w:rFonts w:ascii="Times New Roman" w:hAnsi="Times New Roman" w:cs="Times New Roman"/>
                <w:b/>
                <w:sz w:val="24"/>
                <w:szCs w:val="24"/>
              </w:rPr>
            </w:pPr>
            <w:r w:rsidRPr="001B1E7A">
              <w:rPr>
                <w:rFonts w:ascii="Times New Roman" w:hAnsi="Times New Roman" w:cs="Times New Roman"/>
                <w:b/>
                <w:sz w:val="24"/>
                <w:szCs w:val="24"/>
              </w:rPr>
              <w:lastRenderedPageBreak/>
              <w:t>Item #4 (Student Retention and Graduation)</w:t>
            </w:r>
          </w:p>
          <w:p w:rsidR="001B1E7A" w:rsidRPr="001B1E7A" w:rsidRDefault="001B1E7A" w:rsidP="001B1E7A">
            <w:pPr>
              <w:spacing w:before="120"/>
              <w:rPr>
                <w:rFonts w:ascii="Times New Roman" w:hAnsi="Times New Roman" w:cs="Times New Roman"/>
                <w:b/>
                <w:sz w:val="24"/>
                <w:szCs w:val="24"/>
              </w:rPr>
            </w:pPr>
            <w:r w:rsidRPr="001B1E7A">
              <w:rPr>
                <w:rFonts w:ascii="Times New Roman" w:hAnsi="Times New Roman" w:cs="Times New Roman"/>
                <w:b/>
                <w:sz w:val="24"/>
                <w:szCs w:val="24"/>
              </w:rPr>
              <w:t>Recommendations:</w:t>
            </w:r>
          </w:p>
          <w:p w:rsidR="001B1E7A" w:rsidRPr="001B1E7A" w:rsidRDefault="001B1E7A" w:rsidP="001B1E7A">
            <w:pPr>
              <w:numPr>
                <w:ilvl w:val="0"/>
                <w:numId w:val="7"/>
              </w:numPr>
              <w:spacing w:before="120"/>
              <w:ind w:left="540" w:hanging="180"/>
              <w:contextualSpacing/>
              <w:rPr>
                <w:rFonts w:ascii="Times New Roman" w:eastAsiaTheme="minorEastAsia" w:hAnsi="Times New Roman"/>
                <w:sz w:val="24"/>
                <w:szCs w:val="24"/>
              </w:rPr>
            </w:pPr>
            <w:r w:rsidRPr="001B1E7A">
              <w:rPr>
                <w:rFonts w:ascii="Times New Roman" w:eastAsiaTheme="minorEastAsia" w:hAnsi="Times New Roman"/>
                <w:sz w:val="24"/>
                <w:szCs w:val="24"/>
              </w:rPr>
              <w:t xml:space="preserve">The department and college should consider adapting the existing </w:t>
            </w:r>
            <w:proofErr w:type="gramStart"/>
            <w:r w:rsidRPr="001B1E7A">
              <w:rPr>
                <w:rFonts w:ascii="Times New Roman" w:eastAsiaTheme="minorEastAsia" w:hAnsi="Times New Roman"/>
                <w:sz w:val="24"/>
                <w:szCs w:val="24"/>
              </w:rPr>
              <w:t>student advising</w:t>
            </w:r>
            <w:proofErr w:type="gramEnd"/>
            <w:r w:rsidRPr="001B1E7A">
              <w:rPr>
                <w:rFonts w:ascii="Times New Roman" w:eastAsiaTheme="minorEastAsia" w:hAnsi="Times New Roman"/>
                <w:sz w:val="24"/>
                <w:szCs w:val="24"/>
              </w:rPr>
              <w:t xml:space="preserve"> model to include full-time lecturers who have content expertise in public health.  The review team suggested the possibility of housing lecturers </w:t>
            </w:r>
            <w:proofErr w:type="gramStart"/>
            <w:r w:rsidRPr="001B1E7A">
              <w:rPr>
                <w:rFonts w:ascii="Times New Roman" w:eastAsiaTheme="minorEastAsia" w:hAnsi="Times New Roman"/>
                <w:sz w:val="24"/>
                <w:szCs w:val="24"/>
              </w:rPr>
              <w:t>in the college's Advising and Career Development Center, but to be devoted solely to public health student advising</w:t>
            </w:r>
            <w:proofErr w:type="gramEnd"/>
            <w:r w:rsidRPr="001B1E7A">
              <w:rPr>
                <w:rFonts w:ascii="Times New Roman" w:eastAsiaTheme="minorEastAsia" w:hAnsi="Times New Roman"/>
                <w:sz w:val="24"/>
                <w:szCs w:val="24"/>
              </w:rPr>
              <w:t xml:space="preserve">.  </w:t>
            </w:r>
          </w:p>
          <w:p w:rsidR="001B1E7A" w:rsidRPr="001B1E7A" w:rsidRDefault="001B1E7A" w:rsidP="001B1E7A">
            <w:pPr>
              <w:numPr>
                <w:ilvl w:val="0"/>
                <w:numId w:val="7"/>
              </w:numPr>
              <w:spacing w:before="120"/>
              <w:ind w:left="547" w:hanging="187"/>
              <w:rPr>
                <w:rFonts w:ascii="Times New Roman" w:eastAsiaTheme="minorEastAsia" w:hAnsi="Times New Roman"/>
                <w:sz w:val="24"/>
                <w:szCs w:val="24"/>
              </w:rPr>
            </w:pPr>
            <w:r w:rsidRPr="001B1E7A">
              <w:rPr>
                <w:rFonts w:ascii="Times New Roman" w:eastAsiaTheme="minorEastAsia" w:hAnsi="Times New Roman"/>
                <w:sz w:val="24"/>
                <w:szCs w:val="24"/>
              </w:rPr>
              <w:t xml:space="preserve">The department should limit the growth in the number of undergraduate students to a manageable level based on departmental resources.   The department should consider declaring the major </w:t>
            </w:r>
            <w:proofErr w:type="gramStart"/>
            <w:r w:rsidRPr="001B1E7A">
              <w:rPr>
                <w:rFonts w:ascii="Times New Roman" w:eastAsiaTheme="minorEastAsia" w:hAnsi="Times New Roman"/>
                <w:sz w:val="24"/>
                <w:szCs w:val="24"/>
              </w:rPr>
              <w:t>impacted</w:t>
            </w:r>
            <w:proofErr w:type="gramEnd"/>
            <w:r w:rsidRPr="001B1E7A">
              <w:rPr>
                <w:rFonts w:ascii="Times New Roman" w:eastAsiaTheme="minorEastAsia" w:hAnsi="Times New Roman"/>
                <w:sz w:val="24"/>
                <w:szCs w:val="24"/>
              </w:rPr>
              <w:t>.</w:t>
            </w:r>
          </w:p>
          <w:p w:rsidR="001B1E7A" w:rsidRPr="001B1E7A" w:rsidRDefault="001B1E7A" w:rsidP="001B1E7A">
            <w:pPr>
              <w:spacing w:before="120"/>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1B1E7A" w:rsidRDefault="00C058C5" w:rsidP="001B1E7A">
            <w:pPr>
              <w:rPr>
                <w:rFonts w:ascii="Times New Roman" w:hAnsi="Times New Roman" w:cs="Times New Roman"/>
                <w:sz w:val="24"/>
                <w:szCs w:val="24"/>
              </w:rPr>
            </w:pPr>
            <w:r>
              <w:rPr>
                <w:rFonts w:ascii="Times New Roman" w:hAnsi="Times New Roman"/>
                <w:sz w:val="24"/>
                <w:szCs w:val="24"/>
              </w:rPr>
              <w:t>A full-time faculty member serves</w:t>
            </w:r>
            <w:r w:rsidR="001B1E7A" w:rsidRPr="001B1E7A">
              <w:rPr>
                <w:rFonts w:ascii="Times New Roman" w:hAnsi="Times New Roman"/>
                <w:sz w:val="24"/>
                <w:szCs w:val="24"/>
              </w:rPr>
              <w:t xml:space="preserve"> as a primary resource for students interested in pursuing the REHS career and state certification.  In order to support student success and academic planning, the faculty member </w:t>
            </w:r>
            <w:r>
              <w:rPr>
                <w:rFonts w:ascii="Times New Roman" w:hAnsi="Times New Roman"/>
                <w:sz w:val="24"/>
                <w:szCs w:val="24"/>
              </w:rPr>
              <w:t>also works</w:t>
            </w:r>
            <w:r w:rsidR="001B1E7A" w:rsidRPr="001B1E7A">
              <w:rPr>
                <w:rFonts w:ascii="Times New Roman" w:hAnsi="Times New Roman"/>
                <w:sz w:val="24"/>
                <w:szCs w:val="24"/>
              </w:rPr>
              <w:t xml:space="preserve"> in collaboration with the Advising and Career Development Center in the College of Health and Human Services.  </w:t>
            </w:r>
            <w:r>
              <w:rPr>
                <w:rFonts w:ascii="Times New Roman" w:hAnsi="Times New Roman"/>
                <w:sz w:val="24"/>
                <w:szCs w:val="24"/>
              </w:rPr>
              <w:t xml:space="preserve">Additionally, a part-time faculty member </w:t>
            </w:r>
            <w:r w:rsidR="00435AFD">
              <w:rPr>
                <w:rFonts w:ascii="Times New Roman" w:hAnsi="Times New Roman"/>
                <w:sz w:val="24"/>
                <w:szCs w:val="24"/>
              </w:rPr>
              <w:t>assists</w:t>
            </w:r>
            <w:r>
              <w:rPr>
                <w:rFonts w:ascii="Times New Roman" w:hAnsi="Times New Roman"/>
                <w:sz w:val="24"/>
                <w:szCs w:val="24"/>
              </w:rPr>
              <w:t xml:space="preserve"> with general advising for the community health and health administration options</w:t>
            </w:r>
            <w:r w:rsidR="00A31B6B">
              <w:rPr>
                <w:rFonts w:ascii="Times New Roman" w:hAnsi="Times New Roman"/>
                <w:sz w:val="24"/>
                <w:szCs w:val="24"/>
              </w:rPr>
              <w:t>,</w:t>
            </w:r>
            <w:r>
              <w:rPr>
                <w:rFonts w:ascii="Times New Roman" w:hAnsi="Times New Roman"/>
                <w:sz w:val="24"/>
                <w:szCs w:val="24"/>
              </w:rPr>
              <w:t xml:space="preserve"> </w:t>
            </w:r>
            <w:r w:rsidR="00A31B6B">
              <w:rPr>
                <w:rFonts w:ascii="Times New Roman" w:hAnsi="Times New Roman"/>
                <w:sz w:val="24"/>
                <w:szCs w:val="24"/>
              </w:rPr>
              <w:t>which has decreased</w:t>
            </w:r>
            <w:r>
              <w:rPr>
                <w:rFonts w:ascii="Times New Roman" w:hAnsi="Times New Roman"/>
                <w:sz w:val="24"/>
                <w:szCs w:val="24"/>
              </w:rPr>
              <w:t xml:space="preserve"> the advising load among the full-time faculty.  </w:t>
            </w:r>
            <w:r w:rsidR="001B1E7A" w:rsidRPr="001B1E7A">
              <w:rPr>
                <w:rFonts w:ascii="Times New Roman" w:hAnsi="Times New Roman" w:cs="Times New Roman"/>
                <w:sz w:val="24"/>
                <w:szCs w:val="24"/>
              </w:rPr>
              <w:t xml:space="preserve">The faculty </w:t>
            </w:r>
            <w:r>
              <w:rPr>
                <w:rFonts w:ascii="Times New Roman" w:hAnsi="Times New Roman" w:cs="Times New Roman"/>
                <w:sz w:val="24"/>
                <w:szCs w:val="24"/>
              </w:rPr>
              <w:t>considered</w:t>
            </w:r>
            <w:r w:rsidR="001B1E7A" w:rsidRPr="001B1E7A">
              <w:rPr>
                <w:rFonts w:ascii="Times New Roman" w:hAnsi="Times New Roman" w:cs="Times New Roman"/>
                <w:sz w:val="24"/>
                <w:szCs w:val="24"/>
              </w:rPr>
              <w:t xml:space="preserve"> declaring the </w:t>
            </w:r>
            <w:r>
              <w:rPr>
                <w:rFonts w:ascii="Times New Roman" w:hAnsi="Times New Roman" w:cs="Times New Roman"/>
                <w:sz w:val="24"/>
                <w:szCs w:val="24"/>
              </w:rPr>
              <w:t>community health option</w:t>
            </w:r>
            <w:r w:rsidR="001B1E7A" w:rsidRPr="001B1E7A">
              <w:rPr>
                <w:rFonts w:ascii="Times New Roman" w:hAnsi="Times New Roman" w:cs="Times New Roman"/>
                <w:sz w:val="24"/>
                <w:szCs w:val="24"/>
              </w:rPr>
              <w:t xml:space="preserve"> </w:t>
            </w:r>
            <w:proofErr w:type="gramStart"/>
            <w:r w:rsidR="001B1E7A" w:rsidRPr="001B1E7A">
              <w:rPr>
                <w:rFonts w:ascii="Times New Roman" w:hAnsi="Times New Roman" w:cs="Times New Roman"/>
                <w:sz w:val="24"/>
                <w:szCs w:val="24"/>
              </w:rPr>
              <w:t>impacted</w:t>
            </w:r>
            <w:proofErr w:type="gramEnd"/>
            <w:r>
              <w:rPr>
                <w:rFonts w:ascii="Times New Roman" w:hAnsi="Times New Roman" w:cs="Times New Roman"/>
                <w:sz w:val="24"/>
                <w:szCs w:val="24"/>
              </w:rPr>
              <w:t xml:space="preserve">, however; it was determined that the </w:t>
            </w:r>
            <w:r w:rsidR="001E7A41">
              <w:rPr>
                <w:rFonts w:ascii="Times New Roman" w:hAnsi="Times New Roman" w:cs="Times New Roman"/>
                <w:sz w:val="24"/>
                <w:szCs w:val="24"/>
              </w:rPr>
              <w:t>growth</w:t>
            </w:r>
            <w:r>
              <w:rPr>
                <w:rFonts w:ascii="Times New Roman" w:hAnsi="Times New Roman" w:cs="Times New Roman"/>
                <w:sz w:val="24"/>
                <w:szCs w:val="24"/>
              </w:rPr>
              <w:t xml:space="preserve"> was due </w:t>
            </w:r>
            <w:r w:rsidR="001E7A41">
              <w:rPr>
                <w:rFonts w:ascii="Times New Roman" w:hAnsi="Times New Roman" w:cs="Times New Roman"/>
                <w:sz w:val="24"/>
                <w:szCs w:val="24"/>
              </w:rPr>
              <w:t xml:space="preserve">primarily </w:t>
            </w:r>
            <w:r>
              <w:rPr>
                <w:rFonts w:ascii="Times New Roman" w:hAnsi="Times New Roman" w:cs="Times New Roman"/>
                <w:sz w:val="24"/>
                <w:szCs w:val="24"/>
              </w:rPr>
              <w:t>to students changing their major</w:t>
            </w:r>
            <w:r w:rsidR="00435AFD">
              <w:rPr>
                <w:rFonts w:ascii="Times New Roman" w:hAnsi="Times New Roman" w:cs="Times New Roman"/>
                <w:sz w:val="24"/>
                <w:szCs w:val="24"/>
              </w:rPr>
              <w:t xml:space="preserve"> </w:t>
            </w:r>
            <w:r w:rsidR="007A695F">
              <w:rPr>
                <w:rFonts w:ascii="Times New Roman" w:hAnsi="Times New Roman" w:cs="Times New Roman"/>
                <w:sz w:val="24"/>
                <w:szCs w:val="24"/>
              </w:rPr>
              <w:t>into the</w:t>
            </w:r>
            <w:r w:rsidR="001E7A41">
              <w:rPr>
                <w:rFonts w:ascii="Times New Roman" w:hAnsi="Times New Roman" w:cs="Times New Roman"/>
                <w:sz w:val="24"/>
                <w:szCs w:val="24"/>
              </w:rPr>
              <w:t xml:space="preserve"> option.  </w:t>
            </w:r>
            <w:r>
              <w:rPr>
                <w:rFonts w:ascii="Times New Roman" w:hAnsi="Times New Roman" w:cs="Times New Roman"/>
                <w:sz w:val="24"/>
                <w:szCs w:val="24"/>
              </w:rPr>
              <w:t>The department chair met with OIE early in the fall 2017 semester, and it was determined that a small number of students (approximately 35) can be added to the option during the 2017-2018 academic year</w:t>
            </w:r>
            <w:r w:rsidR="00435AFD">
              <w:rPr>
                <w:rFonts w:ascii="Times New Roman" w:hAnsi="Times New Roman" w:cs="Times New Roman"/>
                <w:sz w:val="24"/>
                <w:szCs w:val="24"/>
              </w:rPr>
              <w:t xml:space="preserve">.  </w:t>
            </w:r>
            <w:r w:rsidR="00A31B6B">
              <w:rPr>
                <w:rFonts w:ascii="Times New Roman" w:hAnsi="Times New Roman" w:cs="Times New Roman"/>
                <w:sz w:val="24"/>
                <w:szCs w:val="24"/>
              </w:rPr>
              <w:t>The</w:t>
            </w:r>
            <w:r w:rsidR="00435AFD">
              <w:rPr>
                <w:rFonts w:ascii="Times New Roman" w:hAnsi="Times New Roman" w:cs="Times New Roman"/>
                <w:sz w:val="24"/>
                <w:szCs w:val="24"/>
              </w:rPr>
              <w:t xml:space="preserve"> faculty </w:t>
            </w:r>
            <w:r w:rsidR="007A695F">
              <w:rPr>
                <w:rFonts w:ascii="Times New Roman" w:hAnsi="Times New Roman" w:cs="Times New Roman"/>
                <w:sz w:val="24"/>
                <w:szCs w:val="24"/>
              </w:rPr>
              <w:t>created</w:t>
            </w:r>
            <w:r w:rsidR="00A31B6B">
              <w:rPr>
                <w:rFonts w:ascii="Times New Roman" w:hAnsi="Times New Roman" w:cs="Times New Roman"/>
                <w:sz w:val="24"/>
                <w:szCs w:val="24"/>
              </w:rPr>
              <w:t xml:space="preserve"> an application process for acceptance into the option</w:t>
            </w:r>
            <w:r w:rsidR="007A695F">
              <w:rPr>
                <w:rFonts w:ascii="Times New Roman" w:hAnsi="Times New Roman" w:cs="Times New Roman"/>
                <w:sz w:val="24"/>
                <w:szCs w:val="24"/>
              </w:rPr>
              <w:t xml:space="preserve">, and final decisions </w:t>
            </w:r>
            <w:proofErr w:type="gramStart"/>
            <w:r w:rsidR="007A695F">
              <w:rPr>
                <w:rFonts w:ascii="Times New Roman" w:hAnsi="Times New Roman" w:cs="Times New Roman"/>
                <w:sz w:val="24"/>
                <w:szCs w:val="24"/>
              </w:rPr>
              <w:t>will be made</w:t>
            </w:r>
            <w:proofErr w:type="gramEnd"/>
            <w:r w:rsidR="007A695F">
              <w:rPr>
                <w:rFonts w:ascii="Times New Roman" w:hAnsi="Times New Roman" w:cs="Times New Roman"/>
                <w:sz w:val="24"/>
                <w:szCs w:val="24"/>
              </w:rPr>
              <w:t xml:space="preserve"> before the spring 2018 registration date</w:t>
            </w:r>
            <w:r w:rsidR="00A31B6B">
              <w:rPr>
                <w:rFonts w:ascii="Times New Roman" w:hAnsi="Times New Roman" w:cs="Times New Roman"/>
                <w:sz w:val="24"/>
                <w:szCs w:val="24"/>
              </w:rPr>
              <w:t>.</w:t>
            </w:r>
            <w:r w:rsidR="00435AFD">
              <w:rPr>
                <w:rFonts w:ascii="Times New Roman" w:hAnsi="Times New Roman" w:cs="Times New Roman"/>
                <w:sz w:val="24"/>
                <w:szCs w:val="24"/>
              </w:rPr>
              <w:t xml:space="preserve"> </w:t>
            </w:r>
            <w:r w:rsidR="00A31B6B">
              <w:rPr>
                <w:rFonts w:ascii="Times New Roman" w:hAnsi="Times New Roman" w:cs="Times New Roman"/>
                <w:sz w:val="24"/>
                <w:szCs w:val="24"/>
              </w:rPr>
              <w:t xml:space="preserve"> </w:t>
            </w:r>
            <w:r w:rsidR="00435AFD">
              <w:rPr>
                <w:rFonts w:ascii="Times New Roman" w:hAnsi="Times New Roman" w:cs="Times New Roman"/>
                <w:sz w:val="24"/>
                <w:szCs w:val="24"/>
              </w:rPr>
              <w:t xml:space="preserve">The department chair will </w:t>
            </w:r>
            <w:r w:rsidR="00A31B6B">
              <w:rPr>
                <w:rFonts w:ascii="Times New Roman" w:hAnsi="Times New Roman" w:cs="Times New Roman"/>
                <w:sz w:val="24"/>
                <w:szCs w:val="24"/>
              </w:rPr>
              <w:t>continue to work</w:t>
            </w:r>
            <w:r w:rsidR="00435AFD">
              <w:rPr>
                <w:rFonts w:ascii="Times New Roman" w:hAnsi="Times New Roman" w:cs="Times New Roman"/>
                <w:sz w:val="24"/>
                <w:szCs w:val="24"/>
              </w:rPr>
              <w:t xml:space="preserve"> with OIE </w:t>
            </w:r>
            <w:r w:rsidR="00A31B6B">
              <w:rPr>
                <w:rFonts w:ascii="Times New Roman" w:hAnsi="Times New Roman" w:cs="Times New Roman"/>
                <w:sz w:val="24"/>
                <w:szCs w:val="24"/>
              </w:rPr>
              <w:t>to mon</w:t>
            </w:r>
            <w:r w:rsidR="007A695F">
              <w:rPr>
                <w:rFonts w:ascii="Times New Roman" w:hAnsi="Times New Roman" w:cs="Times New Roman"/>
                <w:sz w:val="24"/>
                <w:szCs w:val="24"/>
              </w:rPr>
              <w:t xml:space="preserve">itor the growth in the department. </w:t>
            </w:r>
          </w:p>
          <w:p w:rsidR="00C058C5" w:rsidRPr="001B1E7A" w:rsidRDefault="00C058C5" w:rsidP="001B1E7A">
            <w:pPr>
              <w:rPr>
                <w:rFonts w:ascii="Times New Roman" w:hAnsi="Times New Roman"/>
                <w:sz w:val="24"/>
                <w:szCs w:val="24"/>
              </w:rPr>
            </w:pPr>
          </w:p>
          <w:p w:rsid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Item #5 (Facilities)</w:t>
            </w:r>
          </w:p>
          <w:p w:rsidR="006112CD" w:rsidRPr="001B1E7A" w:rsidRDefault="006112CD" w:rsidP="001B1E7A">
            <w:pPr>
              <w:rPr>
                <w:rFonts w:ascii="Times New Roman" w:hAnsi="Times New Roman" w:cs="Times New Roman"/>
                <w:b/>
                <w:sz w:val="24"/>
                <w:szCs w:val="24"/>
              </w:rPr>
            </w:pPr>
          </w:p>
          <w:p w:rsidR="001B1E7A" w:rsidRPr="006112CD" w:rsidRDefault="001B1E7A" w:rsidP="001B1E7A">
            <w:pPr>
              <w:rPr>
                <w:rFonts w:ascii="Times New Roman" w:hAnsi="Times New Roman" w:cs="Times New Roman"/>
                <w:b/>
                <w:sz w:val="24"/>
                <w:szCs w:val="24"/>
              </w:rPr>
            </w:pPr>
            <w:r w:rsidRPr="006112CD">
              <w:rPr>
                <w:rFonts w:ascii="Times New Roman" w:hAnsi="Times New Roman" w:cs="Times New Roman"/>
                <w:b/>
                <w:sz w:val="24"/>
                <w:szCs w:val="24"/>
              </w:rPr>
              <w:t>Recommendations:</w:t>
            </w:r>
          </w:p>
          <w:p w:rsidR="001B1E7A" w:rsidRPr="001B1E7A" w:rsidRDefault="001B1E7A" w:rsidP="001B1E7A">
            <w:pPr>
              <w:numPr>
                <w:ilvl w:val="0"/>
                <w:numId w:val="8"/>
              </w:numPr>
              <w:spacing w:before="120"/>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The department and college should continue to identify teaching space for the public health department, including at a minimum the identification/remodeling of at least one teaching lab in McLane Hall or another building on campus to replace the lost EOHS lab.  </w:t>
            </w:r>
            <w:proofErr w:type="gramStart"/>
            <w:r w:rsidRPr="001B1E7A">
              <w:rPr>
                <w:rFonts w:ascii="Times New Roman" w:eastAsiaTheme="minorEastAsia" w:hAnsi="Times New Roman" w:cs="Times New Roman"/>
                <w:sz w:val="24"/>
                <w:szCs w:val="24"/>
              </w:rPr>
              <w:t>Also</w:t>
            </w:r>
            <w:proofErr w:type="gramEnd"/>
            <w:r w:rsidRPr="001B1E7A">
              <w:rPr>
                <w:rFonts w:ascii="Times New Roman" w:eastAsiaTheme="minorEastAsia" w:hAnsi="Times New Roman" w:cs="Times New Roman"/>
                <w:sz w:val="24"/>
                <w:szCs w:val="24"/>
              </w:rPr>
              <w:t xml:space="preserve">, there will be needed research space for the two planned new EOHS hires.   </w:t>
            </w:r>
          </w:p>
          <w:p w:rsidR="001B1E7A" w:rsidRPr="001B1E7A" w:rsidRDefault="001B1E7A" w:rsidP="001B1E7A">
            <w:pPr>
              <w:rPr>
                <w:rFonts w:ascii="Times New Roman" w:hAnsi="Times New Roman" w:cs="Times New Roman"/>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1B1E7A" w:rsidRDefault="001B1E7A" w:rsidP="001B1E7A">
            <w:pPr>
              <w:rPr>
                <w:rFonts w:ascii="Times New Roman" w:hAnsi="Times New Roman" w:cs="Times New Roman"/>
                <w:b/>
                <w:sz w:val="24"/>
                <w:szCs w:val="24"/>
              </w:rPr>
            </w:pPr>
            <w:r w:rsidRPr="001B1E7A">
              <w:rPr>
                <w:rFonts w:ascii="Times New Roman" w:hAnsi="Times New Roman" w:cs="Times New Roman"/>
                <w:sz w:val="24"/>
                <w:szCs w:val="24"/>
              </w:rPr>
              <w:t xml:space="preserve">The department has worked closely with the </w:t>
            </w:r>
            <w:r w:rsidR="00113C5F">
              <w:rPr>
                <w:rFonts w:ascii="Times New Roman" w:hAnsi="Times New Roman" w:cs="Times New Roman"/>
                <w:sz w:val="24"/>
                <w:szCs w:val="24"/>
              </w:rPr>
              <w:t>CHHS Dean</w:t>
            </w:r>
            <w:r w:rsidRPr="001B1E7A">
              <w:rPr>
                <w:rFonts w:ascii="Times New Roman" w:hAnsi="Times New Roman" w:cs="Times New Roman"/>
                <w:sz w:val="24"/>
                <w:szCs w:val="24"/>
              </w:rPr>
              <w:t xml:space="preserve"> to identify adequate EOHS/REHS research space.  </w:t>
            </w:r>
            <w:r w:rsidR="00435AFD">
              <w:rPr>
                <w:rFonts w:ascii="Times New Roman" w:hAnsi="Times New Roman" w:cs="Times New Roman"/>
                <w:sz w:val="24"/>
                <w:szCs w:val="24"/>
              </w:rPr>
              <w:t>Currently, the department is sharing</w:t>
            </w:r>
            <w:r w:rsidRPr="001B1E7A">
              <w:rPr>
                <w:rFonts w:ascii="Times New Roman" w:hAnsi="Times New Roman" w:cs="Times New Roman"/>
                <w:sz w:val="24"/>
                <w:szCs w:val="24"/>
              </w:rPr>
              <w:t xml:space="preserve"> instructional and faculty research space</w:t>
            </w:r>
            <w:r w:rsidR="00435AFD">
              <w:rPr>
                <w:rFonts w:ascii="Times New Roman" w:hAnsi="Times New Roman" w:cs="Times New Roman"/>
                <w:sz w:val="24"/>
                <w:szCs w:val="24"/>
              </w:rPr>
              <w:t xml:space="preserve"> with the Department of </w:t>
            </w:r>
            <w:r w:rsidR="00113C5F">
              <w:rPr>
                <w:rFonts w:ascii="Times New Roman" w:hAnsi="Times New Roman" w:cs="Times New Roman"/>
                <w:sz w:val="24"/>
                <w:szCs w:val="24"/>
              </w:rPr>
              <w:t>Earth and Environmental Health, however; the CHHS Dean is in support of the renovation of a permanent laboratory space for this option.</w:t>
            </w:r>
            <w:r w:rsidRPr="001B1E7A">
              <w:rPr>
                <w:rFonts w:ascii="Times New Roman" w:hAnsi="Times New Roman" w:cs="Times New Roman"/>
                <w:b/>
                <w:sz w:val="24"/>
                <w:szCs w:val="24"/>
              </w:rPr>
              <w:t xml:space="preserve"> </w:t>
            </w:r>
          </w:p>
          <w:p w:rsidR="00113C5F" w:rsidRPr="001B1E7A" w:rsidRDefault="00113C5F" w:rsidP="001B1E7A">
            <w:pPr>
              <w:rPr>
                <w:rFonts w:ascii="Times New Roman" w:hAnsi="Times New Roman" w:cs="Times New Roman"/>
                <w:b/>
                <w:sz w:val="24"/>
                <w:szCs w:val="24"/>
              </w:rPr>
            </w:pPr>
          </w:p>
          <w:p w:rsid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Item #6 (Funding)</w:t>
            </w:r>
          </w:p>
          <w:p w:rsidR="006112CD" w:rsidRPr="001B1E7A" w:rsidRDefault="006112CD" w:rsidP="001B1E7A">
            <w:pPr>
              <w:rPr>
                <w:rFonts w:ascii="Times New Roman" w:hAnsi="Times New Roman" w:cs="Times New Roman"/>
                <w:b/>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1B1E7A" w:rsidRPr="001B1E7A" w:rsidRDefault="001B1E7A" w:rsidP="001B1E7A">
            <w:pPr>
              <w:numPr>
                <w:ilvl w:val="0"/>
                <w:numId w:val="8"/>
              </w:numPr>
              <w:spacing w:before="120"/>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Highest funding priority should be in hiring more full-time faculty and lecturers.  </w:t>
            </w:r>
          </w:p>
          <w:p w:rsidR="001B1E7A" w:rsidRPr="001B1E7A" w:rsidRDefault="001B1E7A" w:rsidP="001B1E7A">
            <w:pPr>
              <w:rPr>
                <w:rFonts w:ascii="Times New Roman" w:hAnsi="Times New Roman" w:cs="Times New Roman"/>
                <w:sz w:val="24"/>
                <w:szCs w:val="24"/>
              </w:rPr>
            </w:pPr>
          </w:p>
          <w:p w:rsidR="001B1E7A" w:rsidRPr="001B1E7A" w:rsidRDefault="001B1E7A" w:rsidP="001B1E7A">
            <w:pPr>
              <w:numPr>
                <w:ilvl w:val="0"/>
                <w:numId w:val="8"/>
              </w:numPr>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lastRenderedPageBreak/>
              <w:t xml:space="preserve">Hiring faculty at the associate professor rank due to concern with the distribution of faculty regarding rank.  </w:t>
            </w:r>
          </w:p>
          <w:p w:rsidR="001B1E7A" w:rsidRPr="001B1E7A" w:rsidRDefault="001B1E7A" w:rsidP="001B1E7A">
            <w:pPr>
              <w:ind w:left="720"/>
              <w:contextualSpacing/>
              <w:rPr>
                <w:rFonts w:ascii="Times New Roman" w:eastAsiaTheme="minorEastAsia" w:hAnsi="Times New Roman" w:cs="Times New Roman"/>
                <w:sz w:val="24"/>
                <w:szCs w:val="24"/>
              </w:rPr>
            </w:pPr>
          </w:p>
          <w:p w:rsidR="001B1E7A" w:rsidRPr="001B1E7A" w:rsidRDefault="001B1E7A" w:rsidP="001B1E7A">
            <w:pPr>
              <w:numPr>
                <w:ilvl w:val="0"/>
                <w:numId w:val="8"/>
              </w:numPr>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Provide release time support for current and future faculty to participate in CSALT faculty mentoring, course conversion, grant writing, and other scholarly activities to ensure the </w:t>
            </w:r>
            <w:proofErr w:type="gramStart"/>
            <w:r w:rsidRPr="001B1E7A">
              <w:rPr>
                <w:rFonts w:ascii="Times New Roman" w:eastAsiaTheme="minorEastAsia" w:hAnsi="Times New Roman" w:cs="Times New Roman"/>
                <w:sz w:val="24"/>
                <w:szCs w:val="24"/>
              </w:rPr>
              <w:t>department’s</w:t>
            </w:r>
            <w:proofErr w:type="gramEnd"/>
            <w:r w:rsidRPr="001B1E7A">
              <w:rPr>
                <w:rFonts w:ascii="Times New Roman" w:eastAsiaTheme="minorEastAsia" w:hAnsi="Times New Roman" w:cs="Times New Roman"/>
                <w:sz w:val="24"/>
                <w:szCs w:val="24"/>
              </w:rPr>
              <w:t xml:space="preserve"> continued success.</w:t>
            </w:r>
          </w:p>
          <w:p w:rsidR="001B1E7A" w:rsidRPr="001B1E7A" w:rsidRDefault="001B1E7A" w:rsidP="001B1E7A">
            <w:pPr>
              <w:ind w:left="720"/>
              <w:contextualSpacing/>
              <w:rPr>
                <w:rFonts w:ascii="Times New Roman" w:eastAsiaTheme="minorEastAsia" w:hAnsi="Times New Roman" w:cs="Times New Roman"/>
                <w:sz w:val="24"/>
                <w:szCs w:val="24"/>
              </w:rPr>
            </w:pPr>
          </w:p>
          <w:p w:rsidR="001B1E7A" w:rsidRPr="001B1E7A" w:rsidRDefault="001B1E7A" w:rsidP="001B1E7A">
            <w:pPr>
              <w:numPr>
                <w:ilvl w:val="0"/>
                <w:numId w:val="8"/>
              </w:numPr>
              <w:contextualSpacing/>
              <w:rPr>
                <w:rFonts w:ascii="Times New Roman" w:eastAsiaTheme="minorEastAsia" w:hAnsi="Times New Roman" w:cs="Times New Roman"/>
                <w:b/>
                <w:sz w:val="24"/>
                <w:szCs w:val="24"/>
              </w:rPr>
            </w:pPr>
            <w:r w:rsidRPr="001B1E7A">
              <w:rPr>
                <w:rFonts w:ascii="Times New Roman" w:eastAsiaTheme="minorEastAsia" w:hAnsi="Times New Roman" w:cs="Times New Roman"/>
                <w:sz w:val="24"/>
                <w:szCs w:val="24"/>
              </w:rPr>
              <w:t>Renovation of at least one additional EOHS teaching lab as well as an overall improvement in department facilities.</w:t>
            </w:r>
          </w:p>
          <w:p w:rsidR="001B1E7A" w:rsidRPr="001B1E7A" w:rsidRDefault="001B1E7A" w:rsidP="001B1E7A">
            <w:pPr>
              <w:ind w:left="720"/>
              <w:contextualSpacing/>
              <w:rPr>
                <w:rFonts w:ascii="Times New Roman" w:eastAsiaTheme="minorEastAsia" w:hAnsi="Times New Roman" w:cs="Times New Roman"/>
                <w:b/>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 xml:space="preserve">Progress to Date: </w:t>
            </w: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sz w:val="24"/>
                <w:szCs w:val="24"/>
              </w:rPr>
              <w:t xml:space="preserve">The department </w:t>
            </w:r>
            <w:r w:rsidR="00A31B6B">
              <w:rPr>
                <w:rFonts w:ascii="Times New Roman" w:hAnsi="Times New Roman" w:cs="Times New Roman"/>
                <w:sz w:val="24"/>
                <w:szCs w:val="24"/>
              </w:rPr>
              <w:t>received approval</w:t>
            </w:r>
            <w:r w:rsidRPr="001B1E7A">
              <w:rPr>
                <w:rFonts w:ascii="Times New Roman" w:hAnsi="Times New Roman" w:cs="Times New Roman"/>
                <w:sz w:val="24"/>
                <w:szCs w:val="24"/>
              </w:rPr>
              <w:t xml:space="preserve"> for two EOHS/REHS faculty positions </w:t>
            </w:r>
            <w:r w:rsidR="00113C5F">
              <w:rPr>
                <w:rFonts w:ascii="Times New Roman" w:hAnsi="Times New Roman" w:cs="Times New Roman"/>
                <w:sz w:val="24"/>
                <w:szCs w:val="24"/>
              </w:rPr>
              <w:t xml:space="preserve">and one Health Administration position </w:t>
            </w:r>
            <w:r w:rsidRPr="001B1E7A">
              <w:rPr>
                <w:rFonts w:ascii="Times New Roman" w:hAnsi="Times New Roman" w:cs="Times New Roman"/>
                <w:sz w:val="24"/>
                <w:szCs w:val="24"/>
              </w:rPr>
              <w:t xml:space="preserve">for the </w:t>
            </w:r>
            <w:r w:rsidR="007A695F">
              <w:rPr>
                <w:rFonts w:ascii="Times New Roman" w:hAnsi="Times New Roman" w:cs="Times New Roman"/>
                <w:sz w:val="24"/>
                <w:szCs w:val="24"/>
              </w:rPr>
              <w:t>2016-2017</w:t>
            </w:r>
            <w:r w:rsidR="006112CD">
              <w:rPr>
                <w:rFonts w:ascii="Times New Roman" w:hAnsi="Times New Roman" w:cs="Times New Roman"/>
                <w:sz w:val="24"/>
                <w:szCs w:val="24"/>
              </w:rPr>
              <w:t xml:space="preserve"> academic year.  The department also received approval for one Community Health position for the 2017-2018 academic year. </w:t>
            </w:r>
            <w:r w:rsidR="00113C5F">
              <w:rPr>
                <w:rFonts w:ascii="Times New Roman" w:hAnsi="Times New Roman" w:cs="Times New Roman"/>
                <w:sz w:val="24"/>
                <w:szCs w:val="24"/>
              </w:rPr>
              <w:t xml:space="preserve">  </w:t>
            </w:r>
            <w:r w:rsidRPr="001B1E7A">
              <w:rPr>
                <w:rFonts w:ascii="Times New Roman" w:hAnsi="Times New Roman" w:cs="Times New Roman"/>
                <w:sz w:val="24"/>
                <w:szCs w:val="24"/>
              </w:rPr>
              <w:t xml:space="preserve"> </w:t>
            </w:r>
            <w:r w:rsidRPr="001B1E7A">
              <w:rPr>
                <w:rFonts w:ascii="Times New Roman" w:hAnsi="Times New Roman" w:cs="Times New Roman"/>
                <w:sz w:val="24"/>
                <w:szCs w:val="24"/>
              </w:rPr>
              <w:br/>
            </w:r>
          </w:p>
          <w:p w:rsid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Item #7 (Administrative Commitment)</w:t>
            </w:r>
          </w:p>
          <w:p w:rsidR="006112CD" w:rsidRPr="001B1E7A" w:rsidRDefault="006112CD" w:rsidP="001B1E7A">
            <w:pPr>
              <w:rPr>
                <w:rFonts w:ascii="Times New Roman" w:hAnsi="Times New Roman" w:cs="Times New Roman"/>
                <w:b/>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1B1E7A" w:rsidRPr="001B1E7A" w:rsidRDefault="001B1E7A" w:rsidP="001B1E7A">
            <w:pPr>
              <w:numPr>
                <w:ilvl w:val="0"/>
                <w:numId w:val="9"/>
              </w:numPr>
              <w:spacing w:before="120"/>
              <w:contextualSpacing/>
              <w:rPr>
                <w:rFonts w:ascii="Times New Roman" w:eastAsiaTheme="minorEastAsia" w:hAnsi="Times New Roman"/>
                <w:sz w:val="24"/>
                <w:szCs w:val="24"/>
              </w:rPr>
            </w:pPr>
            <w:r w:rsidRPr="001B1E7A">
              <w:rPr>
                <w:rFonts w:ascii="Times New Roman" w:eastAsiaTheme="minorEastAsia" w:hAnsi="Times New Roman"/>
                <w:sz w:val="24"/>
                <w:szCs w:val="24"/>
              </w:rPr>
              <w:t>Reviewing and realigning existing resources to address department needs (e.g., AC</w:t>
            </w:r>
            <w:r w:rsidR="006112CD">
              <w:rPr>
                <w:rFonts w:ascii="Times New Roman" w:eastAsiaTheme="minorEastAsia" w:hAnsi="Times New Roman"/>
                <w:sz w:val="24"/>
                <w:szCs w:val="24"/>
              </w:rPr>
              <w:t>/</w:t>
            </w:r>
            <w:r w:rsidRPr="001B1E7A">
              <w:rPr>
                <w:rFonts w:ascii="Times New Roman" w:eastAsiaTheme="minorEastAsia" w:hAnsi="Times New Roman"/>
                <w:sz w:val="24"/>
                <w:szCs w:val="24"/>
              </w:rPr>
              <w:t xml:space="preserve">DC could accommodate public health-specific advisors to allow public health faculty to focus on teaching and professional mentorship).  </w:t>
            </w:r>
          </w:p>
          <w:p w:rsidR="001B1E7A" w:rsidRPr="001B1E7A" w:rsidRDefault="001B1E7A" w:rsidP="001B1E7A">
            <w:pPr>
              <w:rPr>
                <w:rFonts w:ascii="Times New Roman" w:hAnsi="Times New Roman" w:cs="Times New Roman"/>
                <w:b/>
                <w:sz w:val="24"/>
                <w:szCs w:val="24"/>
              </w:rPr>
            </w:pPr>
          </w:p>
          <w:p w:rsidR="001B1E7A" w:rsidRPr="001B1E7A" w:rsidRDefault="001B1E7A" w:rsidP="001B1E7A">
            <w:pPr>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1B1E7A" w:rsidRPr="001B1E7A" w:rsidRDefault="001B1E7A" w:rsidP="001B1E7A">
            <w:pPr>
              <w:rPr>
                <w:rFonts w:ascii="Times New Roman" w:hAnsi="Times New Roman" w:cs="Times New Roman"/>
                <w:sz w:val="24"/>
                <w:szCs w:val="24"/>
              </w:rPr>
            </w:pPr>
            <w:r w:rsidRPr="001B1E7A">
              <w:rPr>
                <w:rFonts w:ascii="Times New Roman" w:hAnsi="Times New Roman" w:cs="Times New Roman"/>
                <w:sz w:val="24"/>
                <w:szCs w:val="24"/>
              </w:rPr>
              <w:t>The department chair and option coordinators met with AC</w:t>
            </w:r>
            <w:r w:rsidR="006112CD">
              <w:rPr>
                <w:rFonts w:ascii="Times New Roman" w:hAnsi="Times New Roman" w:cs="Times New Roman"/>
                <w:sz w:val="24"/>
                <w:szCs w:val="24"/>
              </w:rPr>
              <w:t>/</w:t>
            </w:r>
            <w:r w:rsidRPr="001B1E7A">
              <w:rPr>
                <w:rFonts w:ascii="Times New Roman" w:hAnsi="Times New Roman" w:cs="Times New Roman"/>
                <w:sz w:val="24"/>
                <w:szCs w:val="24"/>
              </w:rPr>
              <w:t xml:space="preserve">DC staff to address this issue and </w:t>
            </w:r>
            <w:r w:rsidR="00113C5F">
              <w:rPr>
                <w:rFonts w:ascii="Times New Roman" w:hAnsi="Times New Roman" w:cs="Times New Roman"/>
                <w:sz w:val="24"/>
                <w:szCs w:val="24"/>
              </w:rPr>
              <w:t xml:space="preserve">to </w:t>
            </w:r>
            <w:r w:rsidRPr="001B1E7A">
              <w:rPr>
                <w:rFonts w:ascii="Times New Roman" w:hAnsi="Times New Roman" w:cs="Times New Roman"/>
                <w:sz w:val="24"/>
                <w:szCs w:val="24"/>
              </w:rPr>
              <w:t xml:space="preserve">explore </w:t>
            </w:r>
            <w:proofErr w:type="gramStart"/>
            <w:r w:rsidRPr="001B1E7A">
              <w:rPr>
                <w:rFonts w:ascii="Times New Roman" w:hAnsi="Times New Roman" w:cs="Times New Roman"/>
                <w:sz w:val="24"/>
                <w:szCs w:val="24"/>
              </w:rPr>
              <w:t>student advising</w:t>
            </w:r>
            <w:proofErr w:type="gramEnd"/>
            <w:r w:rsidRPr="001B1E7A">
              <w:rPr>
                <w:rFonts w:ascii="Times New Roman" w:hAnsi="Times New Roman" w:cs="Times New Roman"/>
                <w:sz w:val="24"/>
                <w:szCs w:val="24"/>
              </w:rPr>
              <w:t xml:space="preserve"> needs.  </w:t>
            </w: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Pr="0044009B" w:rsidRDefault="0044009B" w:rsidP="0044009B">
            <w:pPr>
              <w:rPr>
                <w:rFonts w:ascii="Times New Roman" w:hAnsi="Times New Roman" w:cs="Times New Roman"/>
                <w:b/>
                <w:sz w:val="24"/>
                <w:szCs w:val="24"/>
              </w:rPr>
            </w:pPr>
            <w:bookmarkStart w:id="0" w:name="_GoBack"/>
            <w:bookmarkEnd w:id="0"/>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6E9C"/>
    <w:multiLevelType w:val="hybridMultilevel"/>
    <w:tmpl w:val="718453DC"/>
    <w:lvl w:ilvl="0" w:tplc="A65A3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F3FE0"/>
    <w:multiLevelType w:val="hybridMultilevel"/>
    <w:tmpl w:val="55588E52"/>
    <w:lvl w:ilvl="0" w:tplc="85E4DFB4">
      <w:start w:val="1"/>
      <w:numFmt w:val="bullet"/>
      <w:lvlText w:val=""/>
      <w:lvlJc w:val="left"/>
      <w:pPr>
        <w:ind w:left="720" w:hanging="360"/>
      </w:pPr>
      <w:rPr>
        <w:rFonts w:ascii="Symbol" w:hAnsi="Symbol" w:hint="default"/>
      </w:rPr>
    </w:lvl>
    <w:lvl w:ilvl="1" w:tplc="9410C482" w:tentative="1">
      <w:start w:val="1"/>
      <w:numFmt w:val="bullet"/>
      <w:lvlText w:val="o"/>
      <w:lvlJc w:val="left"/>
      <w:pPr>
        <w:ind w:left="1440" w:hanging="360"/>
      </w:pPr>
      <w:rPr>
        <w:rFonts w:ascii="Courier New" w:hAnsi="Courier New" w:hint="default"/>
      </w:rPr>
    </w:lvl>
    <w:lvl w:ilvl="2" w:tplc="59EE87F6" w:tentative="1">
      <w:start w:val="1"/>
      <w:numFmt w:val="bullet"/>
      <w:lvlText w:val=""/>
      <w:lvlJc w:val="left"/>
      <w:pPr>
        <w:ind w:left="2160" w:hanging="360"/>
      </w:pPr>
      <w:rPr>
        <w:rFonts w:ascii="Wingdings" w:hAnsi="Wingdings" w:hint="default"/>
      </w:rPr>
    </w:lvl>
    <w:lvl w:ilvl="3" w:tplc="63D42A1E" w:tentative="1">
      <w:start w:val="1"/>
      <w:numFmt w:val="bullet"/>
      <w:lvlText w:val=""/>
      <w:lvlJc w:val="left"/>
      <w:pPr>
        <w:ind w:left="2880" w:hanging="360"/>
      </w:pPr>
      <w:rPr>
        <w:rFonts w:ascii="Symbol" w:hAnsi="Symbol" w:hint="default"/>
      </w:rPr>
    </w:lvl>
    <w:lvl w:ilvl="4" w:tplc="1136A7E2" w:tentative="1">
      <w:start w:val="1"/>
      <w:numFmt w:val="bullet"/>
      <w:lvlText w:val="o"/>
      <w:lvlJc w:val="left"/>
      <w:pPr>
        <w:ind w:left="3600" w:hanging="360"/>
      </w:pPr>
      <w:rPr>
        <w:rFonts w:ascii="Courier New" w:hAnsi="Courier New" w:hint="default"/>
      </w:rPr>
    </w:lvl>
    <w:lvl w:ilvl="5" w:tplc="0C80CBBA" w:tentative="1">
      <w:start w:val="1"/>
      <w:numFmt w:val="bullet"/>
      <w:lvlText w:val=""/>
      <w:lvlJc w:val="left"/>
      <w:pPr>
        <w:ind w:left="4320" w:hanging="360"/>
      </w:pPr>
      <w:rPr>
        <w:rFonts w:ascii="Wingdings" w:hAnsi="Wingdings" w:hint="default"/>
      </w:rPr>
    </w:lvl>
    <w:lvl w:ilvl="6" w:tplc="33CA34CA" w:tentative="1">
      <w:start w:val="1"/>
      <w:numFmt w:val="bullet"/>
      <w:lvlText w:val=""/>
      <w:lvlJc w:val="left"/>
      <w:pPr>
        <w:ind w:left="5040" w:hanging="360"/>
      </w:pPr>
      <w:rPr>
        <w:rFonts w:ascii="Symbol" w:hAnsi="Symbol" w:hint="default"/>
      </w:rPr>
    </w:lvl>
    <w:lvl w:ilvl="7" w:tplc="B4E2B258" w:tentative="1">
      <w:start w:val="1"/>
      <w:numFmt w:val="bullet"/>
      <w:lvlText w:val="o"/>
      <w:lvlJc w:val="left"/>
      <w:pPr>
        <w:ind w:left="5760" w:hanging="360"/>
      </w:pPr>
      <w:rPr>
        <w:rFonts w:ascii="Courier New" w:hAnsi="Courier New" w:hint="default"/>
      </w:rPr>
    </w:lvl>
    <w:lvl w:ilvl="8" w:tplc="4F5E3F10" w:tentative="1">
      <w:start w:val="1"/>
      <w:numFmt w:val="bullet"/>
      <w:lvlText w:val=""/>
      <w:lvlJc w:val="left"/>
      <w:pPr>
        <w:ind w:left="6480" w:hanging="360"/>
      </w:pPr>
      <w:rPr>
        <w:rFonts w:ascii="Wingdings" w:hAnsi="Wingdings" w:hint="default"/>
      </w:rPr>
    </w:lvl>
  </w:abstractNum>
  <w:abstractNum w:abstractNumId="4" w15:restartNumberingAfterBreak="0">
    <w:nsid w:val="3CC17407"/>
    <w:multiLevelType w:val="hybridMultilevel"/>
    <w:tmpl w:val="270A2046"/>
    <w:lvl w:ilvl="0" w:tplc="A65A3B88">
      <w:start w:val="1"/>
      <w:numFmt w:val="bullet"/>
      <w:lvlText w:val=""/>
      <w:lvlJc w:val="left"/>
      <w:pPr>
        <w:ind w:left="720" w:hanging="360"/>
      </w:pPr>
      <w:rPr>
        <w:rFonts w:ascii="Symbol" w:hAnsi="Symbol" w:hint="default"/>
      </w:rPr>
    </w:lvl>
    <w:lvl w:ilvl="1" w:tplc="4E14C29A" w:tentative="1">
      <w:start w:val="1"/>
      <w:numFmt w:val="bullet"/>
      <w:lvlText w:val="o"/>
      <w:lvlJc w:val="left"/>
      <w:pPr>
        <w:ind w:left="1440" w:hanging="360"/>
      </w:pPr>
      <w:rPr>
        <w:rFonts w:ascii="Courier New" w:hAnsi="Courier New" w:hint="default"/>
      </w:rPr>
    </w:lvl>
    <w:lvl w:ilvl="2" w:tplc="09429A12" w:tentative="1">
      <w:start w:val="1"/>
      <w:numFmt w:val="bullet"/>
      <w:lvlText w:val=""/>
      <w:lvlJc w:val="left"/>
      <w:pPr>
        <w:ind w:left="2160" w:hanging="360"/>
      </w:pPr>
      <w:rPr>
        <w:rFonts w:ascii="Wingdings" w:hAnsi="Wingdings" w:hint="default"/>
      </w:rPr>
    </w:lvl>
    <w:lvl w:ilvl="3" w:tplc="196A50E8" w:tentative="1">
      <w:start w:val="1"/>
      <w:numFmt w:val="bullet"/>
      <w:lvlText w:val=""/>
      <w:lvlJc w:val="left"/>
      <w:pPr>
        <w:ind w:left="2880" w:hanging="360"/>
      </w:pPr>
      <w:rPr>
        <w:rFonts w:ascii="Symbol" w:hAnsi="Symbol" w:hint="default"/>
      </w:rPr>
    </w:lvl>
    <w:lvl w:ilvl="4" w:tplc="230ABA50" w:tentative="1">
      <w:start w:val="1"/>
      <w:numFmt w:val="bullet"/>
      <w:lvlText w:val="o"/>
      <w:lvlJc w:val="left"/>
      <w:pPr>
        <w:ind w:left="3600" w:hanging="360"/>
      </w:pPr>
      <w:rPr>
        <w:rFonts w:ascii="Courier New" w:hAnsi="Courier New" w:hint="default"/>
      </w:rPr>
    </w:lvl>
    <w:lvl w:ilvl="5" w:tplc="252A446C" w:tentative="1">
      <w:start w:val="1"/>
      <w:numFmt w:val="bullet"/>
      <w:lvlText w:val=""/>
      <w:lvlJc w:val="left"/>
      <w:pPr>
        <w:ind w:left="4320" w:hanging="360"/>
      </w:pPr>
      <w:rPr>
        <w:rFonts w:ascii="Wingdings" w:hAnsi="Wingdings" w:hint="default"/>
      </w:rPr>
    </w:lvl>
    <w:lvl w:ilvl="6" w:tplc="6E960D6A" w:tentative="1">
      <w:start w:val="1"/>
      <w:numFmt w:val="bullet"/>
      <w:lvlText w:val=""/>
      <w:lvlJc w:val="left"/>
      <w:pPr>
        <w:ind w:left="5040" w:hanging="360"/>
      </w:pPr>
      <w:rPr>
        <w:rFonts w:ascii="Symbol" w:hAnsi="Symbol" w:hint="default"/>
      </w:rPr>
    </w:lvl>
    <w:lvl w:ilvl="7" w:tplc="ED86CFFC" w:tentative="1">
      <w:start w:val="1"/>
      <w:numFmt w:val="bullet"/>
      <w:lvlText w:val="o"/>
      <w:lvlJc w:val="left"/>
      <w:pPr>
        <w:ind w:left="5760" w:hanging="360"/>
      </w:pPr>
      <w:rPr>
        <w:rFonts w:ascii="Courier New" w:hAnsi="Courier New" w:hint="default"/>
      </w:rPr>
    </w:lvl>
    <w:lvl w:ilvl="8" w:tplc="7EEC919E" w:tentative="1">
      <w:start w:val="1"/>
      <w:numFmt w:val="bullet"/>
      <w:lvlText w:val=""/>
      <w:lvlJc w:val="left"/>
      <w:pPr>
        <w:ind w:left="6480" w:hanging="360"/>
      </w:pPr>
      <w:rPr>
        <w:rFonts w:ascii="Wingdings" w:hAnsi="Wingdings" w:hint="default"/>
      </w:rPr>
    </w:lvl>
  </w:abstractNum>
  <w:abstractNum w:abstractNumId="5" w15:restartNumberingAfterBreak="0">
    <w:nsid w:val="50D37798"/>
    <w:multiLevelType w:val="hybridMultilevel"/>
    <w:tmpl w:val="BF56D338"/>
    <w:lvl w:ilvl="0" w:tplc="281617BC">
      <w:start w:val="1"/>
      <w:numFmt w:val="bullet"/>
      <w:lvlText w:val=""/>
      <w:lvlJc w:val="left"/>
      <w:pPr>
        <w:ind w:left="720" w:hanging="360"/>
      </w:pPr>
      <w:rPr>
        <w:rFonts w:ascii="Symbol" w:hAnsi="Symbol" w:hint="default"/>
      </w:rPr>
    </w:lvl>
    <w:lvl w:ilvl="1" w:tplc="C8DAEA84" w:tentative="1">
      <w:start w:val="1"/>
      <w:numFmt w:val="bullet"/>
      <w:lvlText w:val="o"/>
      <w:lvlJc w:val="left"/>
      <w:pPr>
        <w:ind w:left="1440" w:hanging="360"/>
      </w:pPr>
      <w:rPr>
        <w:rFonts w:ascii="Courier New" w:hAnsi="Courier New" w:hint="default"/>
      </w:rPr>
    </w:lvl>
    <w:lvl w:ilvl="2" w:tplc="5F50D778" w:tentative="1">
      <w:start w:val="1"/>
      <w:numFmt w:val="bullet"/>
      <w:lvlText w:val=""/>
      <w:lvlJc w:val="left"/>
      <w:pPr>
        <w:ind w:left="2160" w:hanging="360"/>
      </w:pPr>
      <w:rPr>
        <w:rFonts w:ascii="Wingdings" w:hAnsi="Wingdings" w:hint="default"/>
      </w:rPr>
    </w:lvl>
    <w:lvl w:ilvl="3" w:tplc="CD64357E" w:tentative="1">
      <w:start w:val="1"/>
      <w:numFmt w:val="bullet"/>
      <w:lvlText w:val=""/>
      <w:lvlJc w:val="left"/>
      <w:pPr>
        <w:ind w:left="2880" w:hanging="360"/>
      </w:pPr>
      <w:rPr>
        <w:rFonts w:ascii="Symbol" w:hAnsi="Symbol" w:hint="default"/>
      </w:rPr>
    </w:lvl>
    <w:lvl w:ilvl="4" w:tplc="972609B2" w:tentative="1">
      <w:start w:val="1"/>
      <w:numFmt w:val="bullet"/>
      <w:lvlText w:val="o"/>
      <w:lvlJc w:val="left"/>
      <w:pPr>
        <w:ind w:left="3600" w:hanging="360"/>
      </w:pPr>
      <w:rPr>
        <w:rFonts w:ascii="Courier New" w:hAnsi="Courier New" w:hint="default"/>
      </w:rPr>
    </w:lvl>
    <w:lvl w:ilvl="5" w:tplc="39ECA5B8" w:tentative="1">
      <w:start w:val="1"/>
      <w:numFmt w:val="bullet"/>
      <w:lvlText w:val=""/>
      <w:lvlJc w:val="left"/>
      <w:pPr>
        <w:ind w:left="4320" w:hanging="360"/>
      </w:pPr>
      <w:rPr>
        <w:rFonts w:ascii="Wingdings" w:hAnsi="Wingdings" w:hint="default"/>
      </w:rPr>
    </w:lvl>
    <w:lvl w:ilvl="6" w:tplc="14E01B82" w:tentative="1">
      <w:start w:val="1"/>
      <w:numFmt w:val="bullet"/>
      <w:lvlText w:val=""/>
      <w:lvlJc w:val="left"/>
      <w:pPr>
        <w:ind w:left="5040" w:hanging="360"/>
      </w:pPr>
      <w:rPr>
        <w:rFonts w:ascii="Symbol" w:hAnsi="Symbol" w:hint="default"/>
      </w:rPr>
    </w:lvl>
    <w:lvl w:ilvl="7" w:tplc="CE669774" w:tentative="1">
      <w:start w:val="1"/>
      <w:numFmt w:val="bullet"/>
      <w:lvlText w:val="o"/>
      <w:lvlJc w:val="left"/>
      <w:pPr>
        <w:ind w:left="5760" w:hanging="360"/>
      </w:pPr>
      <w:rPr>
        <w:rFonts w:ascii="Courier New" w:hAnsi="Courier New" w:hint="default"/>
      </w:rPr>
    </w:lvl>
    <w:lvl w:ilvl="8" w:tplc="A33496F0" w:tentative="1">
      <w:start w:val="1"/>
      <w:numFmt w:val="bullet"/>
      <w:lvlText w:val=""/>
      <w:lvlJc w:val="left"/>
      <w:pPr>
        <w:ind w:left="6480" w:hanging="360"/>
      </w:pPr>
      <w:rPr>
        <w:rFonts w:ascii="Wingdings" w:hAnsi="Wingdings" w:hint="default"/>
      </w:rPr>
    </w:lvl>
  </w:abstractNum>
  <w:abstractNum w:abstractNumId="6" w15:restartNumberingAfterBreak="0">
    <w:nsid w:val="53E67439"/>
    <w:multiLevelType w:val="hybridMultilevel"/>
    <w:tmpl w:val="397EF0E8"/>
    <w:lvl w:ilvl="0" w:tplc="A65A3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974DC"/>
    <w:multiLevelType w:val="hybridMultilevel"/>
    <w:tmpl w:val="D0C4ACEA"/>
    <w:lvl w:ilvl="0" w:tplc="53C4DA6C">
      <w:start w:val="1"/>
      <w:numFmt w:val="bullet"/>
      <w:lvlText w:val=""/>
      <w:lvlJc w:val="left"/>
      <w:pPr>
        <w:ind w:left="720" w:hanging="360"/>
      </w:pPr>
      <w:rPr>
        <w:rFonts w:ascii="Symbol" w:hAnsi="Symbol" w:hint="default"/>
      </w:rPr>
    </w:lvl>
    <w:lvl w:ilvl="1" w:tplc="0A245598" w:tentative="1">
      <w:start w:val="1"/>
      <w:numFmt w:val="bullet"/>
      <w:lvlText w:val="o"/>
      <w:lvlJc w:val="left"/>
      <w:pPr>
        <w:ind w:left="1440" w:hanging="360"/>
      </w:pPr>
      <w:rPr>
        <w:rFonts w:ascii="Courier New" w:hAnsi="Courier New" w:hint="default"/>
      </w:rPr>
    </w:lvl>
    <w:lvl w:ilvl="2" w:tplc="3976B312" w:tentative="1">
      <w:start w:val="1"/>
      <w:numFmt w:val="bullet"/>
      <w:lvlText w:val=""/>
      <w:lvlJc w:val="left"/>
      <w:pPr>
        <w:ind w:left="2160" w:hanging="360"/>
      </w:pPr>
      <w:rPr>
        <w:rFonts w:ascii="Wingdings" w:hAnsi="Wingdings" w:hint="default"/>
      </w:rPr>
    </w:lvl>
    <w:lvl w:ilvl="3" w:tplc="263E9C3A" w:tentative="1">
      <w:start w:val="1"/>
      <w:numFmt w:val="bullet"/>
      <w:lvlText w:val=""/>
      <w:lvlJc w:val="left"/>
      <w:pPr>
        <w:ind w:left="2880" w:hanging="360"/>
      </w:pPr>
      <w:rPr>
        <w:rFonts w:ascii="Symbol" w:hAnsi="Symbol" w:hint="default"/>
      </w:rPr>
    </w:lvl>
    <w:lvl w:ilvl="4" w:tplc="CD8AA90C" w:tentative="1">
      <w:start w:val="1"/>
      <w:numFmt w:val="bullet"/>
      <w:lvlText w:val="o"/>
      <w:lvlJc w:val="left"/>
      <w:pPr>
        <w:ind w:left="3600" w:hanging="360"/>
      </w:pPr>
      <w:rPr>
        <w:rFonts w:ascii="Courier New" w:hAnsi="Courier New" w:hint="default"/>
      </w:rPr>
    </w:lvl>
    <w:lvl w:ilvl="5" w:tplc="E3D63268" w:tentative="1">
      <w:start w:val="1"/>
      <w:numFmt w:val="bullet"/>
      <w:lvlText w:val=""/>
      <w:lvlJc w:val="left"/>
      <w:pPr>
        <w:ind w:left="4320" w:hanging="360"/>
      </w:pPr>
      <w:rPr>
        <w:rFonts w:ascii="Wingdings" w:hAnsi="Wingdings" w:hint="default"/>
      </w:rPr>
    </w:lvl>
    <w:lvl w:ilvl="6" w:tplc="1F86A13C" w:tentative="1">
      <w:start w:val="1"/>
      <w:numFmt w:val="bullet"/>
      <w:lvlText w:val=""/>
      <w:lvlJc w:val="left"/>
      <w:pPr>
        <w:ind w:left="5040" w:hanging="360"/>
      </w:pPr>
      <w:rPr>
        <w:rFonts w:ascii="Symbol" w:hAnsi="Symbol" w:hint="default"/>
      </w:rPr>
    </w:lvl>
    <w:lvl w:ilvl="7" w:tplc="2D30F746" w:tentative="1">
      <w:start w:val="1"/>
      <w:numFmt w:val="bullet"/>
      <w:lvlText w:val="o"/>
      <w:lvlJc w:val="left"/>
      <w:pPr>
        <w:ind w:left="5760" w:hanging="360"/>
      </w:pPr>
      <w:rPr>
        <w:rFonts w:ascii="Courier New" w:hAnsi="Courier New" w:hint="default"/>
      </w:rPr>
    </w:lvl>
    <w:lvl w:ilvl="8" w:tplc="D01C6902" w:tentative="1">
      <w:start w:val="1"/>
      <w:numFmt w:val="bullet"/>
      <w:lvlText w:val=""/>
      <w:lvlJc w:val="left"/>
      <w:pPr>
        <w:ind w:left="6480" w:hanging="360"/>
      </w:pPr>
      <w:rPr>
        <w:rFonts w:ascii="Wingdings" w:hAnsi="Wingdings" w:hint="default"/>
      </w:rPr>
    </w:lvl>
  </w:abstractNum>
  <w:abstractNum w:abstractNumId="8"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915A8"/>
    <w:rsid w:val="000A47DF"/>
    <w:rsid w:val="000B6699"/>
    <w:rsid w:val="00113C5F"/>
    <w:rsid w:val="001265C3"/>
    <w:rsid w:val="001B1E7A"/>
    <w:rsid w:val="001E7A41"/>
    <w:rsid w:val="0020670A"/>
    <w:rsid w:val="002C56C7"/>
    <w:rsid w:val="00321827"/>
    <w:rsid w:val="00367A38"/>
    <w:rsid w:val="003A338F"/>
    <w:rsid w:val="003D0E82"/>
    <w:rsid w:val="00435AFD"/>
    <w:rsid w:val="0044009B"/>
    <w:rsid w:val="00473A36"/>
    <w:rsid w:val="00504D0E"/>
    <w:rsid w:val="005122DD"/>
    <w:rsid w:val="0055402E"/>
    <w:rsid w:val="005B5BA2"/>
    <w:rsid w:val="005D639E"/>
    <w:rsid w:val="006112CD"/>
    <w:rsid w:val="00644E5B"/>
    <w:rsid w:val="00673ABB"/>
    <w:rsid w:val="00674720"/>
    <w:rsid w:val="006B026F"/>
    <w:rsid w:val="006D4501"/>
    <w:rsid w:val="0071760B"/>
    <w:rsid w:val="00733AB9"/>
    <w:rsid w:val="007A695F"/>
    <w:rsid w:val="007B34A1"/>
    <w:rsid w:val="008D5C64"/>
    <w:rsid w:val="00927626"/>
    <w:rsid w:val="00927A96"/>
    <w:rsid w:val="009C2DFD"/>
    <w:rsid w:val="009D3976"/>
    <w:rsid w:val="00A31B6B"/>
    <w:rsid w:val="00AD3A26"/>
    <w:rsid w:val="00B75A98"/>
    <w:rsid w:val="00BA5403"/>
    <w:rsid w:val="00C058C5"/>
    <w:rsid w:val="00C257C7"/>
    <w:rsid w:val="00CE752C"/>
    <w:rsid w:val="00D336A0"/>
    <w:rsid w:val="00E61A19"/>
    <w:rsid w:val="00EF7BCB"/>
    <w:rsid w:val="00EF7EFA"/>
    <w:rsid w:val="00F171F9"/>
    <w:rsid w:val="00FE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B3CD"/>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HHS Default</cp:lastModifiedBy>
  <cp:revision>2</cp:revision>
  <dcterms:created xsi:type="dcterms:W3CDTF">2017-09-29T16:03:00Z</dcterms:created>
  <dcterms:modified xsi:type="dcterms:W3CDTF">2017-09-29T16:03:00Z</dcterms:modified>
</cp:coreProperties>
</file>